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Default="004A2C22" w:rsidP="004A2C22">
      <w:pPr>
        <w:pStyle w:val="electron-p"/>
        <w:spacing w:after="280" w:afterAutospacing="1"/>
      </w:pPr>
      <w:r>
        <w:t>Журнал</w:t>
      </w:r>
    </w:p>
    <w:p w:rsidR="004A2C22" w:rsidRDefault="004A2C22" w:rsidP="004A2C22">
      <w:pPr>
        <w:spacing w:after="280" w:afterAutospacing="1"/>
      </w:pPr>
      <w:r>
        <w:rPr>
          <w:noProof/>
        </w:rPr>
        <w:drawing>
          <wp:inline distT="0" distB="0" distL="0" distR="0">
            <wp:extent cx="2094865" cy="308610"/>
            <wp:effectExtent l="0" t="0" r="635" b="0"/>
            <wp:docPr id="7" name="Рисунок 7" descr="Справочник специалиста по охране труда (Охрана тру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равочник специалиста по охране труда (Охрана труд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>
        <w:br/>
      </w:r>
      <w:r>
        <w:br/>
      </w:r>
      <w:r>
        <w:br/>
      </w:r>
      <w:r>
        <w:br/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Специальная оценка условий труда / новые требования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Как изменения в законе о </w:t>
      </w:r>
      <w:proofErr w:type="spellStart"/>
      <w:r w:rsidRPr="004A2C22">
        <w:rPr>
          <w:b/>
          <w:bCs/>
          <w:sz w:val="28"/>
          <w:szCs w:val="28"/>
        </w:rPr>
        <w:t>спецоценке</w:t>
      </w:r>
      <w:proofErr w:type="spellEnd"/>
      <w:r w:rsidRPr="004A2C22">
        <w:rPr>
          <w:b/>
          <w:bCs/>
          <w:sz w:val="28"/>
          <w:szCs w:val="28"/>
        </w:rPr>
        <w:t xml:space="preserve"> повлияют на вашу работу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Наталья МИНЕВИЧ</w:t>
      </w:r>
      <w:r w:rsidRPr="004A2C22">
        <w:rPr>
          <w:sz w:val="28"/>
          <w:szCs w:val="28"/>
        </w:rPr>
        <w:br/>
        <w:t xml:space="preserve">заместитель начальника отдела инжиниринга систем управления охраной труда и профессиональных рисков ФГБУ «ВНИИ труда» Минтруда России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Изменения в закон о специальной оценке условий труда вступили в силу с 1 января 2020 года. Чтобы автоматически отслеживать нарушения, Минтруд прописал новые требования к размещению результатов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в информационной системе учета. Также установили конкретные сроки для отдельных процедур, за нарушение которых смогут оштрафовать работодателей. В статье рассказали, какие изменения нужно учесть в работе. </w:t>
      </w:r>
    </w:p>
    <w:p w:rsidR="004A2C22" w:rsidRDefault="004A2C22" w:rsidP="004A2C22">
      <w:pPr>
        <w:spacing w:after="280" w:afterAutospacing="1"/>
      </w:pPr>
      <w:r>
        <w:br/>
      </w:r>
      <w:r>
        <w:br/>
      </w:r>
    </w:p>
    <w:p w:rsidR="004A2C22" w:rsidRDefault="004A2C22" w:rsidP="004A2C22">
      <w:pPr>
        <w:pStyle w:val="2"/>
        <w:spacing w:after="280" w:afterAutospacing="1"/>
      </w:pPr>
      <w:r>
        <w:t xml:space="preserve">Результаты </w:t>
      </w:r>
      <w:proofErr w:type="spellStart"/>
      <w:r>
        <w:t>спецоценки</w:t>
      </w:r>
      <w:proofErr w:type="spellEnd"/>
      <w:r>
        <w:t xml:space="preserve"> нельзя применять сразу после того, как утвердили отчет </w:t>
      </w:r>
    </w:p>
    <w:p w:rsidR="004A2C22" w:rsidRDefault="00E2746F" w:rsidP="004A2C22">
      <w:r>
        <w:pict>
          <v:rect id="_x0000_i1025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>
      <w:pPr>
        <w:spacing w:after="280" w:afterAutospacing="1"/>
      </w:pPr>
      <w:r>
        <w:rPr>
          <w:noProof/>
        </w:rPr>
        <w:drawing>
          <wp:inline distT="0" distB="0" distL="0" distR="0">
            <wp:extent cx="680720" cy="6699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22" w:rsidRDefault="004A2C22" w:rsidP="004A2C22">
      <w:pPr>
        <w:pStyle w:val="H3remark-h3"/>
        <w:spacing w:after="280" w:afterAutospacing="1"/>
      </w:pPr>
      <w:r>
        <w:lastRenderedPageBreak/>
        <w:t>Обратите внимание</w:t>
      </w:r>
    </w:p>
    <w:p w:rsidR="004A2C22" w:rsidRPr="000E018E" w:rsidRDefault="004A2C22" w:rsidP="004A2C22">
      <w:pPr>
        <w:pStyle w:val="remark-p"/>
        <w:spacing w:after="280" w:afterAutospacing="1"/>
        <w:rPr>
          <w:rFonts w:ascii="Arial" w:hAnsi="Arial" w:cs="Arial"/>
          <w:sz w:val="22"/>
          <w:szCs w:val="22"/>
        </w:rPr>
      </w:pPr>
      <w:r w:rsidRPr="000E018E">
        <w:rPr>
          <w:rFonts w:ascii="Arial" w:hAnsi="Arial" w:cs="Arial"/>
          <w:sz w:val="22"/>
          <w:szCs w:val="22"/>
        </w:rPr>
        <w:t xml:space="preserve">Если результаты </w:t>
      </w:r>
      <w:proofErr w:type="spellStart"/>
      <w:r w:rsidRPr="000E018E">
        <w:rPr>
          <w:rFonts w:ascii="Arial" w:hAnsi="Arial" w:cs="Arial"/>
          <w:sz w:val="22"/>
          <w:szCs w:val="22"/>
        </w:rPr>
        <w:t>спецоценки</w:t>
      </w:r>
      <w:proofErr w:type="spellEnd"/>
      <w:r w:rsidRPr="000E018E">
        <w:rPr>
          <w:rFonts w:ascii="Arial" w:hAnsi="Arial" w:cs="Arial"/>
          <w:sz w:val="22"/>
          <w:szCs w:val="22"/>
        </w:rPr>
        <w:t xml:space="preserve"> содержат сведения о государственной или иной охраняемой законом тайне, их не передают во ФГИС </w:t>
      </w:r>
    </w:p>
    <w:p w:rsidR="004A2C22" w:rsidRPr="004A2C22" w:rsidRDefault="00E2746F" w:rsidP="004A2C22">
      <w:pPr>
        <w:rPr>
          <w:sz w:val="28"/>
          <w:szCs w:val="28"/>
        </w:rPr>
      </w:pPr>
      <w:r w:rsidRPr="00E2746F">
        <w:rPr>
          <w:sz w:val="28"/>
          <w:szCs w:val="28"/>
        </w:rPr>
        <w:pict>
          <v:rect id="_x0000_i1026" style="width:6in;height:.75pt" o:hralign="center" o:hrstd="t" o:hrnoshade="t" o:hr="t" fillcolor="black" stroked="f">
            <v:path strokeok="f"/>
          </v:rect>
        </w:pict>
      </w:r>
    </w:p>
    <w:p w:rsidR="004A2C22" w:rsidRPr="004A2C22" w:rsidRDefault="004A2C22" w:rsidP="004A2C22">
      <w:pPr>
        <w:rPr>
          <w:sz w:val="28"/>
          <w:szCs w:val="28"/>
        </w:rPr>
      </w:pP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Раньше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можно было применять со дня, как работодатель утвердил отчет о СОУТ (</w:t>
      </w:r>
      <w:r w:rsidRPr="004A2C22">
        <w:rPr>
          <w:rStyle w:val="Spanlink"/>
          <w:sz w:val="28"/>
          <w:szCs w:val="28"/>
          <w:u w:val="single"/>
        </w:rPr>
        <w:t>ст. 1</w:t>
      </w:r>
      <w:r w:rsidRPr="004A2C22">
        <w:rPr>
          <w:sz w:val="28"/>
          <w:szCs w:val="28"/>
        </w:rPr>
        <w:t xml:space="preserve"> Федерального закона от 27.12.2019 № 451-ФЗ «О внесении изменений в Федеральный закон «О специальной оценке условий труда»). Теперь они начнут действовать с момента, как организация, проводившая СОУТ, внесет сведения в Федеральную государственную информационную систему </w:t>
      </w:r>
      <w:proofErr w:type="gramStart"/>
      <w:r w:rsidRPr="004A2C22">
        <w:rPr>
          <w:sz w:val="28"/>
          <w:szCs w:val="28"/>
        </w:rPr>
        <w:t>учета результатов проведения специальной оценки условий</w:t>
      </w:r>
      <w:proofErr w:type="gramEnd"/>
      <w:r w:rsidRPr="004A2C22">
        <w:rPr>
          <w:sz w:val="28"/>
          <w:szCs w:val="28"/>
        </w:rPr>
        <w:t xml:space="preserve"> труда (ФГИС СОУТ).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действуют пять лет. Срок действия теперь отсчитывают с момента передачи сведений во ФГИС.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Если организация, проводившая СОУТ, не внесет данные в систему, вы не сможете применять ее результаты. Без действующих результатов работодатель не сможет установить работникам положенные по </w:t>
      </w:r>
      <w:r w:rsidRPr="004A2C22">
        <w:rPr>
          <w:rStyle w:val="Spanlink"/>
          <w:sz w:val="28"/>
          <w:szCs w:val="28"/>
          <w:u w:val="single"/>
        </w:rPr>
        <w:t>Трудовому кодексу</w:t>
      </w:r>
      <w:r w:rsidRPr="004A2C22">
        <w:rPr>
          <w:sz w:val="28"/>
          <w:szCs w:val="28"/>
        </w:rPr>
        <w:t xml:space="preserve"> льготы и компенсации, поэтому рискует получить штраф. Кроме того, нельзя будет вернуть из ФСС средства на мероприятия, необходимость которых подтверждают результаты СОУТ. А Пенсионный фонд не сможет рассчитать скидки к страховому тарифу, значит, организация будет платить по максимальной ставке. Также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нужны, чтобы разработать мероприятия по охране труда, обеспечить работников средствами индивидуальной защиты, направить на медицинские осмотры, провести оценку </w:t>
      </w:r>
      <w:proofErr w:type="spellStart"/>
      <w:r w:rsidRPr="004A2C22">
        <w:rPr>
          <w:sz w:val="28"/>
          <w:szCs w:val="28"/>
        </w:rPr>
        <w:t>профрисков</w:t>
      </w:r>
      <w:proofErr w:type="spellEnd"/>
      <w:r w:rsidRPr="004A2C22">
        <w:rPr>
          <w:sz w:val="28"/>
          <w:szCs w:val="28"/>
        </w:rPr>
        <w:t xml:space="preserve"> и пр.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Обоснование. </w:t>
      </w:r>
      <w:r w:rsidRPr="004A2C22">
        <w:rPr>
          <w:rStyle w:val="Spanlink"/>
          <w:sz w:val="28"/>
          <w:szCs w:val="28"/>
          <w:u w:val="single"/>
        </w:rPr>
        <w:t>Статья 7</w:t>
      </w:r>
      <w:r w:rsidRPr="004A2C22">
        <w:rPr>
          <w:sz w:val="28"/>
          <w:szCs w:val="28"/>
        </w:rPr>
        <w:t xml:space="preserve"> и </w:t>
      </w:r>
      <w:r w:rsidRPr="004A2C22">
        <w:rPr>
          <w:rStyle w:val="Spanlink"/>
          <w:sz w:val="28"/>
          <w:szCs w:val="28"/>
          <w:u w:val="single"/>
        </w:rPr>
        <w:t>часть 4</w:t>
      </w:r>
      <w:r w:rsidRPr="004A2C22">
        <w:rPr>
          <w:sz w:val="28"/>
          <w:szCs w:val="28"/>
        </w:rPr>
        <w:t xml:space="preserve"> статьи 8 Федерального закона от 28.12.2013 № 426-ФЗ «О специальной оценке условий труда» (далее — Закон № 426-ФЗ). </w:t>
      </w:r>
    </w:p>
    <w:p w:rsidR="004A2C22" w:rsidRDefault="004A2C22" w:rsidP="004A2C22">
      <w:pPr>
        <w:pStyle w:val="2"/>
        <w:spacing w:after="280" w:afterAutospacing="1"/>
      </w:pPr>
      <w:r>
        <w:t>Отчет нужно утвердить за 30 календарных дней</w:t>
      </w:r>
    </w:p>
    <w:p w:rsidR="004A2C22" w:rsidRDefault="00E2746F" w:rsidP="004A2C22">
      <w:r>
        <w:pict>
          <v:rect id="_x0000_i1027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>
      <w:pPr>
        <w:spacing w:after="280" w:afterAutospacing="1"/>
      </w:pPr>
      <w:r>
        <w:rPr>
          <w:noProof/>
        </w:rPr>
        <w:drawing>
          <wp:inline distT="0" distB="0" distL="0" distR="0">
            <wp:extent cx="680720" cy="6699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22" w:rsidRPr="004A2C22" w:rsidRDefault="004A2C22" w:rsidP="004A2C22">
      <w:pPr>
        <w:pStyle w:val="H3remark-h3"/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lastRenderedPageBreak/>
        <w:t>Важно</w:t>
      </w:r>
    </w:p>
    <w:p w:rsidR="004A2C22" w:rsidRPr="000E018E" w:rsidRDefault="004A2C22" w:rsidP="004A2C22">
      <w:pPr>
        <w:pStyle w:val="remark-p"/>
        <w:spacing w:after="280" w:afterAutospacing="1"/>
        <w:rPr>
          <w:rFonts w:ascii="Arial" w:hAnsi="Arial" w:cs="Arial"/>
          <w:sz w:val="28"/>
          <w:szCs w:val="28"/>
        </w:rPr>
      </w:pPr>
      <w:r w:rsidRPr="000E018E">
        <w:rPr>
          <w:rFonts w:ascii="Arial" w:hAnsi="Arial" w:cs="Arial"/>
          <w:sz w:val="28"/>
          <w:szCs w:val="28"/>
        </w:rPr>
        <w:t xml:space="preserve">При идентификации вредных и опасных факторов оценщики должны учитывать результаты производственного контроля и проверок </w:t>
      </w:r>
      <w:proofErr w:type="spellStart"/>
      <w:r w:rsidRPr="000E018E">
        <w:rPr>
          <w:rFonts w:ascii="Arial" w:hAnsi="Arial" w:cs="Arial"/>
          <w:sz w:val="28"/>
          <w:szCs w:val="28"/>
        </w:rPr>
        <w:t>Роспотребнадзора</w:t>
      </w:r>
      <w:proofErr w:type="spellEnd"/>
      <w:r w:rsidRPr="000E018E">
        <w:rPr>
          <w:rFonts w:ascii="Arial" w:hAnsi="Arial" w:cs="Arial"/>
          <w:sz w:val="28"/>
          <w:szCs w:val="28"/>
        </w:rPr>
        <w:t xml:space="preserve"> (</w:t>
      </w:r>
      <w:r w:rsidRPr="000E018E">
        <w:rPr>
          <w:rStyle w:val="Spanlink"/>
          <w:rFonts w:ascii="Arial" w:hAnsi="Arial" w:cs="Arial"/>
          <w:sz w:val="28"/>
          <w:szCs w:val="28"/>
          <w:u w:val="single"/>
        </w:rPr>
        <w:t xml:space="preserve">ст. 10 </w:t>
      </w:r>
      <w:r w:rsidRPr="000E018E">
        <w:rPr>
          <w:rFonts w:ascii="Arial" w:hAnsi="Arial" w:cs="Arial"/>
          <w:sz w:val="28"/>
          <w:szCs w:val="28"/>
        </w:rPr>
        <w:t xml:space="preserve">Закона № 426-ФЗ) </w:t>
      </w:r>
    </w:p>
    <w:p w:rsidR="004A2C22" w:rsidRPr="004A2C22" w:rsidRDefault="00E2746F" w:rsidP="004A2C22">
      <w:pPr>
        <w:rPr>
          <w:sz w:val="28"/>
          <w:szCs w:val="28"/>
        </w:rPr>
      </w:pPr>
      <w:r w:rsidRPr="00E2746F">
        <w:rPr>
          <w:sz w:val="28"/>
          <w:szCs w:val="28"/>
        </w:rPr>
        <w:pict>
          <v:rect id="_x0000_i1028" style="width:6in;height:.75pt" o:hralign="center" o:hrstd="t" o:hrnoshade="t" o:hr="t" fillcolor="black" stroked="f">
            <v:path strokeok="f"/>
          </v:rect>
        </w:pict>
      </w:r>
    </w:p>
    <w:p w:rsidR="004A2C22" w:rsidRPr="004A2C22" w:rsidRDefault="004A2C22" w:rsidP="004A2C22">
      <w:pPr>
        <w:rPr>
          <w:sz w:val="28"/>
          <w:szCs w:val="28"/>
        </w:rPr>
      </w:pP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До января закон не регламентировал период, за который работодатель должен утвердить отчет. Теперь у членов комисс</w:t>
      </w:r>
      <w:proofErr w:type="gramStart"/>
      <w:r w:rsidRPr="004A2C22">
        <w:rPr>
          <w:sz w:val="28"/>
          <w:szCs w:val="28"/>
        </w:rPr>
        <w:t>ии и ее</w:t>
      </w:r>
      <w:proofErr w:type="gramEnd"/>
      <w:r w:rsidRPr="004A2C22">
        <w:rPr>
          <w:sz w:val="28"/>
          <w:szCs w:val="28"/>
        </w:rPr>
        <w:t xml:space="preserve"> председателя только 30 календарных дней, чтобы подписать отчет о проведении СОУТ. Когда экспертная организация передаст вам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, вы распишитесь в документах и укажите в них дату получения. С этой даты будут исчислять срок на утверждение документа. Не будете соблюдать сроки, рискуете заплатить штраф 80 тыс. руб. за нарушение порядка проведения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(</w:t>
      </w:r>
      <w:r w:rsidRPr="004A2C22">
        <w:rPr>
          <w:rStyle w:val="Spanlink"/>
          <w:sz w:val="28"/>
          <w:szCs w:val="28"/>
          <w:u w:val="single"/>
        </w:rPr>
        <w:t>ч. 2 ст. 5.27.1</w:t>
      </w:r>
      <w:r w:rsidRPr="004A2C22">
        <w:rPr>
          <w:sz w:val="28"/>
          <w:szCs w:val="28"/>
        </w:rPr>
        <w:t xml:space="preserve"> КоАП).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После того как утвердите отчет, у вас есть три рабочих дня, чтобы уведомить об этом экспертную организацию (</w:t>
      </w:r>
      <w:r w:rsidRPr="004A2C22">
        <w:rPr>
          <w:rStyle w:val="Spanlink"/>
          <w:sz w:val="28"/>
          <w:szCs w:val="28"/>
          <w:u w:val="single"/>
        </w:rPr>
        <w:t>ч. 5.1 ст. 15</w:t>
      </w:r>
      <w:r w:rsidRPr="004A2C22">
        <w:rPr>
          <w:sz w:val="28"/>
          <w:szCs w:val="28"/>
        </w:rPr>
        <w:t xml:space="preserve"> Закона № 426-ФЗ). Не медлите, у оценщика всего 10 рабочих дней с момента утверждения отчета, чтобы внести сведения во ФГИС.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Обоснование. </w:t>
      </w:r>
      <w:r w:rsidRPr="004A2C22">
        <w:rPr>
          <w:rStyle w:val="Spanlink"/>
          <w:sz w:val="28"/>
          <w:szCs w:val="28"/>
          <w:u w:val="single"/>
        </w:rPr>
        <w:t>Часть 2</w:t>
      </w:r>
      <w:r w:rsidRPr="004A2C22">
        <w:rPr>
          <w:sz w:val="28"/>
          <w:szCs w:val="28"/>
        </w:rPr>
        <w:t xml:space="preserve"> статьи 15 Закона № 426-ФЗ. </w:t>
      </w:r>
    </w:p>
    <w:p w:rsidR="004A2C22" w:rsidRDefault="004A2C22" w:rsidP="004A2C22">
      <w:pPr>
        <w:pStyle w:val="2"/>
        <w:spacing w:after="280" w:afterAutospacing="1"/>
      </w:pPr>
      <w:r>
        <w:t>Оценщик должен сообщить идентификационный номер отчета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До начала проведения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экспертная организация должна сообщить работодателю идентификационный номер. Без него отчет о СОУТ будет недействительным. Этот номер ФГИС присваивает автоматически после того, как экспертная организация внесет в систему сведения о работодателе: полное наименование, ИНН и код причины постановки на учет в налоговом органе. Срок на внесение данных — не более пяти рабочих дней с момента, как заключили договор на проведение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Обоснование. </w:t>
      </w:r>
      <w:r w:rsidRPr="004A2C22">
        <w:rPr>
          <w:rStyle w:val="Spanlink"/>
          <w:sz w:val="28"/>
          <w:szCs w:val="28"/>
          <w:u w:val="single"/>
        </w:rPr>
        <w:t>Часть 6</w:t>
      </w:r>
      <w:r w:rsidRPr="004A2C22">
        <w:rPr>
          <w:sz w:val="28"/>
          <w:szCs w:val="28"/>
        </w:rPr>
        <w:t xml:space="preserve"> статьи 8 и </w:t>
      </w:r>
      <w:r w:rsidRPr="004A2C22">
        <w:rPr>
          <w:rStyle w:val="Spanlink"/>
          <w:sz w:val="28"/>
          <w:szCs w:val="28"/>
          <w:u w:val="single"/>
        </w:rPr>
        <w:t>часть 1.1</w:t>
      </w:r>
      <w:r w:rsidRPr="004A2C22">
        <w:rPr>
          <w:sz w:val="28"/>
          <w:szCs w:val="28"/>
        </w:rPr>
        <w:t xml:space="preserve"> статьи 15 Закона № 426-Ф </w:t>
      </w:r>
    </w:p>
    <w:p w:rsidR="004A2C22" w:rsidRDefault="004A2C22" w:rsidP="004A2C22">
      <w:pPr>
        <w:pStyle w:val="2"/>
        <w:spacing w:after="280" w:afterAutospacing="1"/>
      </w:pPr>
      <w:r>
        <w:lastRenderedPageBreak/>
        <w:t>Жалобы от сотрудников нужно рассматривать и отражать в отчете</w:t>
      </w:r>
    </w:p>
    <w:p w:rsidR="004A2C22" w:rsidRDefault="00E2746F" w:rsidP="004A2C22">
      <w:r>
        <w:pict>
          <v:rect id="_x0000_i1029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>
      <w:pPr>
        <w:spacing w:after="280" w:afterAutospacing="1"/>
      </w:pPr>
      <w:r>
        <w:rPr>
          <w:noProof/>
        </w:rPr>
        <w:drawing>
          <wp:inline distT="0" distB="0" distL="0" distR="0">
            <wp:extent cx="680720" cy="6699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22" w:rsidRPr="004A2C22" w:rsidRDefault="004A2C22" w:rsidP="004A2C22">
      <w:pPr>
        <w:pStyle w:val="H3remark-h3"/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Обратите внимание</w:t>
      </w:r>
    </w:p>
    <w:p w:rsidR="004A2C22" w:rsidRPr="000E018E" w:rsidRDefault="004A2C22" w:rsidP="004A2C22">
      <w:pPr>
        <w:pStyle w:val="remark-p"/>
        <w:spacing w:after="280" w:afterAutospacing="1"/>
        <w:rPr>
          <w:rFonts w:ascii="Arial" w:hAnsi="Arial" w:cs="Arial"/>
          <w:sz w:val="28"/>
          <w:szCs w:val="28"/>
        </w:rPr>
      </w:pPr>
      <w:r w:rsidRPr="000E018E">
        <w:rPr>
          <w:rFonts w:ascii="Arial" w:hAnsi="Arial" w:cs="Arial"/>
          <w:sz w:val="28"/>
          <w:szCs w:val="28"/>
        </w:rPr>
        <w:t xml:space="preserve">Индивидуальный номер рабочего места при </w:t>
      </w:r>
      <w:proofErr w:type="gramStart"/>
      <w:r w:rsidRPr="000E018E">
        <w:rPr>
          <w:rFonts w:ascii="Arial" w:hAnsi="Arial" w:cs="Arial"/>
          <w:sz w:val="28"/>
          <w:szCs w:val="28"/>
        </w:rPr>
        <w:t>внеплановой</w:t>
      </w:r>
      <w:proofErr w:type="gramEnd"/>
      <w:r w:rsidRPr="000E018E">
        <w:rPr>
          <w:rFonts w:ascii="Arial" w:hAnsi="Arial" w:cs="Arial"/>
          <w:sz w:val="28"/>
          <w:szCs w:val="28"/>
        </w:rPr>
        <w:t xml:space="preserve"> или повторной </w:t>
      </w:r>
      <w:proofErr w:type="spellStart"/>
      <w:r w:rsidRPr="000E018E">
        <w:rPr>
          <w:rFonts w:ascii="Arial" w:hAnsi="Arial" w:cs="Arial"/>
          <w:sz w:val="28"/>
          <w:szCs w:val="28"/>
        </w:rPr>
        <w:t>спецоценке</w:t>
      </w:r>
      <w:proofErr w:type="spellEnd"/>
      <w:r w:rsidRPr="000E018E">
        <w:rPr>
          <w:rFonts w:ascii="Arial" w:hAnsi="Arial" w:cs="Arial"/>
          <w:sz w:val="28"/>
          <w:szCs w:val="28"/>
        </w:rPr>
        <w:t xml:space="preserve"> должен полностью совпадать с первоначально указанным для конкретного рабочего места (</w:t>
      </w:r>
      <w:r w:rsidRPr="000E018E">
        <w:rPr>
          <w:rStyle w:val="Spanlink"/>
          <w:rFonts w:ascii="Arial" w:hAnsi="Arial" w:cs="Arial"/>
          <w:sz w:val="28"/>
          <w:szCs w:val="28"/>
          <w:u w:val="single"/>
        </w:rPr>
        <w:t>подп. «а» ч. 2 п. 2 ст. 18</w:t>
      </w:r>
      <w:r w:rsidRPr="000E018E">
        <w:rPr>
          <w:rFonts w:ascii="Arial" w:hAnsi="Arial" w:cs="Arial"/>
          <w:sz w:val="28"/>
          <w:szCs w:val="28"/>
        </w:rPr>
        <w:t xml:space="preserve"> Закона № 426-ФЗ) </w:t>
      </w:r>
    </w:p>
    <w:p w:rsidR="004A2C22" w:rsidRPr="004A2C22" w:rsidRDefault="00E2746F" w:rsidP="004A2C22">
      <w:pPr>
        <w:rPr>
          <w:sz w:val="28"/>
          <w:szCs w:val="28"/>
        </w:rPr>
      </w:pPr>
      <w:r w:rsidRPr="00E2746F">
        <w:rPr>
          <w:sz w:val="28"/>
          <w:szCs w:val="28"/>
        </w:rPr>
        <w:pict>
          <v:rect id="_x0000_i1030" style="width:6in;height:.75pt" o:hralign="center" o:hrstd="t" o:hrnoshade="t" o:hr="t" fillcolor="black" stroked="f">
            <v:path strokeok="f"/>
          </v:rect>
        </w:pict>
      </w:r>
    </w:p>
    <w:p w:rsidR="004A2C22" w:rsidRPr="004A2C22" w:rsidRDefault="004A2C22" w:rsidP="004A2C22">
      <w:pPr>
        <w:rPr>
          <w:sz w:val="28"/>
          <w:szCs w:val="28"/>
        </w:rPr>
      </w:pP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Если у работника возникнут замечания и возражения к результатам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, он вправе подать их в письменном виде работодателю, экспертной организации или в профсоюз. Работодатель обязан рассмотреть их и, если необходимо, провести </w:t>
      </w:r>
      <w:proofErr w:type="gramStart"/>
      <w:r w:rsidRPr="004A2C22">
        <w:rPr>
          <w:sz w:val="28"/>
          <w:szCs w:val="28"/>
        </w:rPr>
        <w:t>внеплановую</w:t>
      </w:r>
      <w:proofErr w:type="gramEnd"/>
      <w:r w:rsidRPr="004A2C22">
        <w:rPr>
          <w:sz w:val="28"/>
          <w:szCs w:val="28"/>
        </w:rPr>
        <w:t xml:space="preserve"> </w:t>
      </w:r>
      <w:proofErr w:type="spellStart"/>
      <w:r w:rsidRPr="004A2C22">
        <w:rPr>
          <w:sz w:val="28"/>
          <w:szCs w:val="28"/>
        </w:rPr>
        <w:t>спецоценку</w:t>
      </w:r>
      <w:proofErr w:type="spellEnd"/>
      <w:r w:rsidRPr="004A2C22">
        <w:rPr>
          <w:sz w:val="28"/>
          <w:szCs w:val="28"/>
        </w:rPr>
        <w:t xml:space="preserve">. А экспертная организация должна включить в отчет о СОУТ замечания и возражения работников.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Раньше, если работник был с чем-то не согласен, он сразу обращался с жалобой в инспекцию труда, а потом в суд. А </w:t>
      </w:r>
      <w:proofErr w:type="gramStart"/>
      <w:r w:rsidRPr="004A2C22">
        <w:rPr>
          <w:sz w:val="28"/>
          <w:szCs w:val="28"/>
        </w:rPr>
        <w:t>у</w:t>
      </w:r>
      <w:proofErr w:type="gramEnd"/>
      <w:r w:rsidRPr="004A2C22">
        <w:rPr>
          <w:sz w:val="28"/>
          <w:szCs w:val="28"/>
        </w:rPr>
        <w:t> </w:t>
      </w:r>
      <w:proofErr w:type="gramStart"/>
      <w:r w:rsidRPr="004A2C22">
        <w:rPr>
          <w:sz w:val="28"/>
          <w:szCs w:val="28"/>
        </w:rPr>
        <w:t>ГИТ</w:t>
      </w:r>
      <w:proofErr w:type="gramEnd"/>
      <w:r w:rsidRPr="004A2C22">
        <w:rPr>
          <w:sz w:val="28"/>
          <w:szCs w:val="28"/>
        </w:rPr>
        <w:t xml:space="preserve"> появлялось основание для внеплановой проверки работодателя без уведомления (</w:t>
      </w:r>
      <w:r w:rsidRPr="004A2C22">
        <w:rPr>
          <w:rStyle w:val="Spanlink"/>
          <w:sz w:val="28"/>
          <w:szCs w:val="28"/>
          <w:u w:val="single"/>
        </w:rPr>
        <w:t>ст. 360</w:t>
      </w:r>
      <w:r w:rsidRPr="004A2C22">
        <w:rPr>
          <w:sz w:val="28"/>
          <w:szCs w:val="28"/>
        </w:rPr>
        <w:t xml:space="preserve"> ТК). Теперь это можно будет предотвратить, если своевременно отреагировать на жалобы работников и урегулировать споры внутри организации.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Обоснование. </w:t>
      </w:r>
      <w:r w:rsidRPr="004A2C22">
        <w:rPr>
          <w:rStyle w:val="Spanlink"/>
          <w:sz w:val="28"/>
          <w:szCs w:val="28"/>
          <w:u w:val="single"/>
        </w:rPr>
        <w:t>Часть 7</w:t>
      </w:r>
      <w:r w:rsidRPr="004A2C22">
        <w:rPr>
          <w:sz w:val="28"/>
          <w:szCs w:val="28"/>
        </w:rPr>
        <w:t xml:space="preserve"> статьи 4, </w:t>
      </w:r>
      <w:r w:rsidRPr="004A2C22">
        <w:rPr>
          <w:rStyle w:val="Spanlink"/>
          <w:sz w:val="28"/>
          <w:szCs w:val="28"/>
          <w:u w:val="single"/>
        </w:rPr>
        <w:t>часть 4</w:t>
      </w:r>
      <w:r w:rsidRPr="004A2C22">
        <w:rPr>
          <w:sz w:val="28"/>
          <w:szCs w:val="28"/>
        </w:rPr>
        <w:t xml:space="preserve"> статьи 5, </w:t>
      </w:r>
      <w:r w:rsidRPr="004A2C22">
        <w:rPr>
          <w:rStyle w:val="Spanlink"/>
          <w:sz w:val="28"/>
          <w:szCs w:val="28"/>
          <w:u w:val="single"/>
        </w:rPr>
        <w:t>часть 1</w:t>
      </w:r>
      <w:r w:rsidRPr="004A2C22">
        <w:rPr>
          <w:sz w:val="28"/>
          <w:szCs w:val="28"/>
        </w:rPr>
        <w:t xml:space="preserve"> статьи 15, </w:t>
      </w:r>
      <w:r w:rsidRPr="004A2C22">
        <w:rPr>
          <w:rStyle w:val="Spanlink"/>
          <w:sz w:val="28"/>
          <w:szCs w:val="28"/>
          <w:u w:val="single"/>
        </w:rPr>
        <w:t>часть 1</w:t>
      </w:r>
      <w:r w:rsidRPr="004A2C22">
        <w:rPr>
          <w:sz w:val="28"/>
          <w:szCs w:val="28"/>
        </w:rPr>
        <w:t xml:space="preserve"> статьи 17 Закона № 426-ФЗ. </w:t>
      </w:r>
    </w:p>
    <w:p w:rsidR="004A2C22" w:rsidRDefault="00E2746F" w:rsidP="004A2C22">
      <w:r>
        <w:pict>
          <v:rect id="_x0000_i1031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>
      <w:pPr>
        <w:spacing w:after="280" w:afterAutospacing="1"/>
      </w:pPr>
      <w:r>
        <w:rPr>
          <w:noProof/>
        </w:rPr>
        <w:drawing>
          <wp:inline distT="0" distB="0" distL="0" distR="0">
            <wp:extent cx="680720" cy="6699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22" w:rsidRDefault="004A2C22" w:rsidP="004A2C22">
      <w:pPr>
        <w:pStyle w:val="H3remark-h3"/>
        <w:spacing w:after="280" w:afterAutospacing="1"/>
      </w:pPr>
      <w:r>
        <w:lastRenderedPageBreak/>
        <w:t>Важно</w:t>
      </w:r>
    </w:p>
    <w:p w:rsidR="004A2C22" w:rsidRPr="000E018E" w:rsidRDefault="004A2C22" w:rsidP="004A2C22">
      <w:pPr>
        <w:pStyle w:val="remark-p"/>
        <w:spacing w:after="280" w:afterAutospacing="1"/>
        <w:rPr>
          <w:rFonts w:ascii="Arial" w:hAnsi="Arial" w:cs="Arial"/>
          <w:sz w:val="22"/>
          <w:szCs w:val="22"/>
        </w:rPr>
      </w:pPr>
      <w:r w:rsidRPr="000E018E">
        <w:rPr>
          <w:rFonts w:ascii="Arial" w:hAnsi="Arial" w:cs="Arial"/>
          <w:sz w:val="22"/>
          <w:szCs w:val="22"/>
        </w:rPr>
        <w:t>Электронные документы по </w:t>
      </w:r>
      <w:proofErr w:type="spellStart"/>
      <w:r w:rsidRPr="000E018E">
        <w:rPr>
          <w:rFonts w:ascii="Arial" w:hAnsi="Arial" w:cs="Arial"/>
          <w:sz w:val="22"/>
          <w:szCs w:val="22"/>
        </w:rPr>
        <w:t>спецоценке</w:t>
      </w:r>
      <w:proofErr w:type="spellEnd"/>
      <w:r w:rsidRPr="000E018E">
        <w:rPr>
          <w:rFonts w:ascii="Arial" w:hAnsi="Arial" w:cs="Arial"/>
          <w:sz w:val="22"/>
          <w:szCs w:val="22"/>
        </w:rPr>
        <w:t xml:space="preserve"> стороны должны подписывать усиленной квалифицированной электронной подписью </w:t>
      </w:r>
    </w:p>
    <w:p w:rsidR="004A2C22" w:rsidRDefault="00E2746F" w:rsidP="004A2C22">
      <w:r w:rsidRPr="00E2746F">
        <w:rPr>
          <w:sz w:val="28"/>
          <w:szCs w:val="28"/>
        </w:rPr>
        <w:pict>
          <v:rect id="_x0000_i1032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/>
    <w:p w:rsidR="004A2C22" w:rsidRPr="004A2C22" w:rsidRDefault="004A2C22" w:rsidP="004A2C22">
      <w:pPr>
        <w:pStyle w:val="2"/>
        <w:spacing w:after="280" w:afterAutospacing="1"/>
        <w:rPr>
          <w:sz w:val="28"/>
          <w:szCs w:val="28"/>
        </w:rPr>
      </w:pPr>
      <w:r>
        <w:t xml:space="preserve">Вас должны уведомить о том, что результаты внесли </w:t>
      </w:r>
      <w:r w:rsidRPr="004A2C22">
        <w:rPr>
          <w:sz w:val="28"/>
          <w:szCs w:val="28"/>
        </w:rPr>
        <w:t>во ФГИС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После того как экспертная организация передаст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во ФГИС, она должна в письменном виде сообщить об этом заказчику. Сделать это нужно в течение трех рабочих дней в форме электронного документа, подписанного усиленной квалифицированной электронной подписью, либо на бумажном носителе в виде почтового отправления с уведомлением о вручении.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Работодатель вправе требовать от оценщика подтверждение о том, что сведения о результатах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размещены во ФГИС. Если ему не ответят, обратиться с жалобой в ГИТ или </w:t>
      </w:r>
      <w:proofErr w:type="spellStart"/>
      <w:r w:rsidRPr="004A2C22">
        <w:rPr>
          <w:sz w:val="28"/>
          <w:szCs w:val="28"/>
        </w:rPr>
        <w:t>Роструд</w:t>
      </w:r>
      <w:proofErr w:type="spellEnd"/>
      <w:r w:rsidRPr="004A2C22">
        <w:rPr>
          <w:sz w:val="28"/>
          <w:szCs w:val="28"/>
        </w:rPr>
        <w:t xml:space="preserve">. Кроме того, работодатель по-прежнему вправе самостоятельно передать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в </w:t>
      </w:r>
      <w:proofErr w:type="gramStart"/>
      <w:r w:rsidRPr="004A2C22">
        <w:rPr>
          <w:sz w:val="28"/>
          <w:szCs w:val="28"/>
        </w:rPr>
        <w:t>территориальную</w:t>
      </w:r>
      <w:proofErr w:type="gramEnd"/>
      <w:r w:rsidRPr="004A2C22">
        <w:rPr>
          <w:sz w:val="28"/>
          <w:szCs w:val="28"/>
        </w:rPr>
        <w:t xml:space="preserve"> ГИТ, которая и загрузит данные во ФГИС (</w:t>
      </w:r>
      <w:r w:rsidRPr="004A2C22">
        <w:rPr>
          <w:rStyle w:val="Spanlink"/>
          <w:sz w:val="28"/>
          <w:szCs w:val="28"/>
          <w:u w:val="single"/>
        </w:rPr>
        <w:t>ч. 4 ст. 18</w:t>
      </w:r>
      <w:r w:rsidRPr="004A2C22">
        <w:rPr>
          <w:sz w:val="28"/>
          <w:szCs w:val="28"/>
        </w:rPr>
        <w:t xml:space="preserve"> Закона № 426-ФЗ). А дальше инспекция труда самостоятельно будет разбираться в отношении недобросовестного оценщика. Главное — результаты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 будут действовать, и вы сможете использовать их в работе.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 xml:space="preserve">Обоснование. </w:t>
      </w:r>
      <w:r w:rsidRPr="004A2C22">
        <w:rPr>
          <w:rStyle w:val="Spanlink"/>
          <w:sz w:val="28"/>
          <w:szCs w:val="28"/>
          <w:u w:val="single"/>
        </w:rPr>
        <w:t>Часть 3</w:t>
      </w:r>
      <w:r w:rsidRPr="004A2C22">
        <w:rPr>
          <w:sz w:val="28"/>
          <w:szCs w:val="28"/>
        </w:rPr>
        <w:t xml:space="preserve"> статьи 18 и </w:t>
      </w:r>
      <w:r w:rsidRPr="004A2C22">
        <w:rPr>
          <w:rStyle w:val="Spanlink"/>
          <w:sz w:val="28"/>
          <w:szCs w:val="28"/>
          <w:u w:val="single"/>
        </w:rPr>
        <w:t>часть 1</w:t>
      </w:r>
      <w:r w:rsidRPr="004A2C22">
        <w:rPr>
          <w:sz w:val="28"/>
          <w:szCs w:val="28"/>
        </w:rPr>
        <w:t xml:space="preserve"> статьи 4 Закона № 426-ФЗ. </w:t>
      </w:r>
    </w:p>
    <w:p w:rsidR="004A2C22" w:rsidRDefault="00E2746F" w:rsidP="004A2C22">
      <w:r>
        <w:pict>
          <v:rect id="_x0000_i1033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>
      <w:pPr>
        <w:spacing w:after="280" w:afterAutospacing="1"/>
      </w:pPr>
      <w:r>
        <w:rPr>
          <w:noProof/>
        </w:rPr>
        <w:drawing>
          <wp:inline distT="0" distB="0" distL="0" distR="0">
            <wp:extent cx="680720" cy="6699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22" w:rsidRPr="004A2C22" w:rsidRDefault="004A2C22" w:rsidP="004A2C22">
      <w:pPr>
        <w:pStyle w:val="H3remark-h3"/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>Обратите внимание</w:t>
      </w:r>
    </w:p>
    <w:p w:rsidR="004A2C22" w:rsidRPr="000E018E" w:rsidRDefault="004A2C22" w:rsidP="004A2C22">
      <w:pPr>
        <w:pStyle w:val="remark-p"/>
        <w:spacing w:after="280" w:afterAutospacing="1"/>
        <w:rPr>
          <w:rFonts w:ascii="Arial" w:hAnsi="Arial" w:cs="Arial"/>
          <w:sz w:val="28"/>
          <w:szCs w:val="28"/>
        </w:rPr>
      </w:pPr>
      <w:r w:rsidRPr="000E018E">
        <w:rPr>
          <w:rFonts w:ascii="Arial" w:hAnsi="Arial" w:cs="Arial"/>
          <w:sz w:val="28"/>
          <w:szCs w:val="28"/>
        </w:rPr>
        <w:t xml:space="preserve">Решения </w:t>
      </w:r>
      <w:proofErr w:type="spellStart"/>
      <w:r w:rsidRPr="000E018E">
        <w:rPr>
          <w:rFonts w:ascii="Arial" w:hAnsi="Arial" w:cs="Arial"/>
          <w:sz w:val="28"/>
          <w:szCs w:val="28"/>
        </w:rPr>
        <w:t>госэкспертизы</w:t>
      </w:r>
      <w:proofErr w:type="spellEnd"/>
      <w:r w:rsidRPr="000E018E">
        <w:rPr>
          <w:rFonts w:ascii="Arial" w:hAnsi="Arial" w:cs="Arial"/>
          <w:sz w:val="28"/>
          <w:szCs w:val="28"/>
        </w:rPr>
        <w:t xml:space="preserve"> обязательны для исполнения всеми участниками специальной оценки условий труда (</w:t>
      </w:r>
      <w:r w:rsidRPr="000E018E">
        <w:rPr>
          <w:rStyle w:val="Spanlink"/>
          <w:rFonts w:ascii="Arial" w:hAnsi="Arial" w:cs="Arial"/>
          <w:sz w:val="28"/>
          <w:szCs w:val="28"/>
          <w:u w:val="single"/>
        </w:rPr>
        <w:t>ч. 6 ст. 24</w:t>
      </w:r>
      <w:r w:rsidRPr="000E018E">
        <w:rPr>
          <w:rFonts w:ascii="Arial" w:hAnsi="Arial" w:cs="Arial"/>
          <w:sz w:val="28"/>
          <w:szCs w:val="28"/>
        </w:rPr>
        <w:t xml:space="preserve"> Закона № 426-ФЗ) </w:t>
      </w:r>
    </w:p>
    <w:p w:rsidR="004A2C22" w:rsidRPr="004A2C22" w:rsidRDefault="00E2746F" w:rsidP="004A2C22">
      <w:pPr>
        <w:rPr>
          <w:sz w:val="28"/>
          <w:szCs w:val="28"/>
        </w:rPr>
      </w:pPr>
      <w:r w:rsidRPr="00E2746F">
        <w:rPr>
          <w:sz w:val="28"/>
          <w:szCs w:val="28"/>
        </w:rPr>
        <w:lastRenderedPageBreak/>
        <w:pict>
          <v:rect id="_x0000_i1034" style="width:6in;height:.75pt" o:hralign="center" o:hrstd="t" o:hrnoshade="t" o:hr="t" fillcolor="black" stroked="f">
            <v:path strokeok="f"/>
          </v:rect>
        </w:pict>
      </w:r>
    </w:p>
    <w:p w:rsidR="004A2C22" w:rsidRDefault="004A2C22" w:rsidP="004A2C22"/>
    <w:p w:rsidR="004A2C22" w:rsidRDefault="004A2C22" w:rsidP="004A2C22">
      <w:pPr>
        <w:pStyle w:val="2"/>
        <w:spacing w:after="280" w:afterAutospacing="1"/>
      </w:pPr>
      <w:proofErr w:type="spellStart"/>
      <w:r>
        <w:t>Микропредприятия</w:t>
      </w:r>
      <w:proofErr w:type="spellEnd"/>
      <w:r>
        <w:t xml:space="preserve"> и ИП могут провести </w:t>
      </w:r>
      <w:proofErr w:type="spellStart"/>
      <w:r>
        <w:t>спецоценку</w:t>
      </w:r>
      <w:proofErr w:type="spellEnd"/>
      <w:r>
        <w:t xml:space="preserve"> без комиссии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sz w:val="28"/>
          <w:szCs w:val="28"/>
        </w:rPr>
        <w:t xml:space="preserve">Раньше </w:t>
      </w:r>
      <w:proofErr w:type="spellStart"/>
      <w:r w:rsidRPr="004A2C22">
        <w:rPr>
          <w:sz w:val="28"/>
          <w:szCs w:val="28"/>
        </w:rPr>
        <w:t>микропредприятия</w:t>
      </w:r>
      <w:proofErr w:type="spellEnd"/>
      <w:r w:rsidRPr="004A2C22">
        <w:rPr>
          <w:sz w:val="28"/>
          <w:szCs w:val="28"/>
        </w:rPr>
        <w:t xml:space="preserve"> и индивидуальные предприниматели (ИП) наравне с другими организациями должны были создавать комиссию для проведения </w:t>
      </w:r>
      <w:proofErr w:type="spellStart"/>
      <w:r w:rsidRPr="004A2C22">
        <w:rPr>
          <w:sz w:val="28"/>
          <w:szCs w:val="28"/>
        </w:rPr>
        <w:t>спецоценки</w:t>
      </w:r>
      <w:proofErr w:type="spellEnd"/>
      <w:r w:rsidRPr="004A2C22">
        <w:rPr>
          <w:sz w:val="28"/>
          <w:szCs w:val="28"/>
        </w:rPr>
        <w:t xml:space="preserve">. Им приходилось заключать договор ГПХ со специалистом, который выполнял бы функцию службы охраны труда в работе комиссии. Теперь, если ИП не может образовать комиссию, ее полномочия исполняет сам предприниматель. Без комиссии также могут обойтись </w:t>
      </w:r>
      <w:proofErr w:type="spellStart"/>
      <w:r w:rsidRPr="004A2C22">
        <w:rPr>
          <w:sz w:val="28"/>
          <w:szCs w:val="28"/>
        </w:rPr>
        <w:t>микропредприятия</w:t>
      </w:r>
      <w:proofErr w:type="spellEnd"/>
      <w:r w:rsidRPr="004A2C22">
        <w:rPr>
          <w:sz w:val="28"/>
          <w:szCs w:val="28"/>
        </w:rPr>
        <w:t xml:space="preserve">, в этом случае процедурой придется заниматься руководителю или другому назначенному им работнику. </w:t>
      </w:r>
    </w:p>
    <w:p w:rsidR="004A2C22" w:rsidRPr="004A2C22" w:rsidRDefault="004A2C22" w:rsidP="004A2C22">
      <w:pPr>
        <w:spacing w:after="280" w:afterAutospacing="1"/>
        <w:rPr>
          <w:sz w:val="28"/>
          <w:szCs w:val="28"/>
        </w:rPr>
      </w:pPr>
      <w:r w:rsidRPr="004A2C22">
        <w:rPr>
          <w:b/>
          <w:bCs/>
          <w:sz w:val="28"/>
          <w:szCs w:val="28"/>
        </w:rPr>
        <w:t>Обоснование. </w:t>
      </w:r>
      <w:r w:rsidRPr="004A2C22">
        <w:rPr>
          <w:rStyle w:val="Spanlink"/>
          <w:sz w:val="28"/>
          <w:szCs w:val="28"/>
          <w:u w:val="single"/>
        </w:rPr>
        <w:t>Часть 3.1</w:t>
      </w:r>
      <w:r w:rsidRPr="004A2C22">
        <w:rPr>
          <w:sz w:val="28"/>
          <w:szCs w:val="28"/>
        </w:rPr>
        <w:t xml:space="preserve"> статьи 9 Закона № 426-ФЗ. </w:t>
      </w:r>
    </w:p>
    <w:tbl>
      <w:tblPr>
        <w:tblW w:w="5000" w:type="pct"/>
        <w:tblInd w:w="33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4A2C22" w:rsidTr="00A7069D">
        <w:tc>
          <w:tcPr>
            <w:tcW w:w="0" w:type="auto"/>
            <w:shd w:val="clear" w:color="auto" w:fill="D5E8CC"/>
            <w:tcMar>
              <w:top w:w="285" w:type="dxa"/>
              <w:left w:w="330" w:type="dxa"/>
              <w:bottom w:w="285" w:type="dxa"/>
              <w:right w:w="330" w:type="dxa"/>
            </w:tcMar>
            <w:vAlign w:val="center"/>
          </w:tcPr>
          <w:p w:rsidR="004A2C22" w:rsidRDefault="004A2C22" w:rsidP="00A7069D">
            <w:pPr>
              <w:spacing w:after="280" w:afterAutospacing="1"/>
            </w:pPr>
            <w:r>
              <w:rPr>
                <w:noProof/>
              </w:rPr>
              <w:drawing>
                <wp:inline distT="0" distB="0" distL="0" distR="0">
                  <wp:extent cx="669925" cy="669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C22" w:rsidRDefault="004A2C22" w:rsidP="00A7069D">
            <w:pPr>
              <w:pStyle w:val="H3inline-h3"/>
              <w:spacing w:after="280" w:afterAutospacing="1"/>
            </w:pPr>
            <w:r>
              <w:t>КОММЕНТАРИЙ РЕДАКЦИИ</w:t>
            </w:r>
          </w:p>
          <w:p w:rsidR="004A2C22" w:rsidRPr="004A2C22" w:rsidRDefault="004A2C22" w:rsidP="00A7069D">
            <w:pPr>
              <w:pStyle w:val="4"/>
              <w:spacing w:after="280" w:afterAutospacing="1"/>
              <w:rPr>
                <w:sz w:val="28"/>
                <w:szCs w:val="28"/>
              </w:rPr>
            </w:pPr>
            <w:bookmarkStart w:id="0" w:name="_GoBack"/>
            <w:r w:rsidRPr="004A2C22">
              <w:rPr>
                <w:sz w:val="28"/>
                <w:szCs w:val="28"/>
              </w:rPr>
              <w:t>Организация, проводящая СОУТ, должна оповестить Минтруд об изменениях в своей деятельности</w:t>
            </w:r>
          </w:p>
          <w:p w:rsidR="004A2C22" w:rsidRPr="000E018E" w:rsidRDefault="004A2C22" w:rsidP="00A7069D">
            <w:pPr>
              <w:pStyle w:val="inline-p"/>
              <w:spacing w:after="280" w:afterAutospacing="1"/>
              <w:rPr>
                <w:rFonts w:ascii="Arial" w:hAnsi="Arial" w:cs="Arial"/>
                <w:sz w:val="28"/>
                <w:szCs w:val="28"/>
              </w:rPr>
            </w:pPr>
            <w:r w:rsidRPr="000E018E">
              <w:rPr>
                <w:rFonts w:ascii="Arial" w:hAnsi="Arial" w:cs="Arial"/>
                <w:sz w:val="28"/>
                <w:szCs w:val="28"/>
              </w:rPr>
              <w:t>Экспертная организация должна сообщить в Минтруд в течение 10 рабочих дней, если у нее:</w:t>
            </w:r>
            <w:r w:rsidRPr="000E018E">
              <w:rPr>
                <w:rFonts w:ascii="Arial" w:hAnsi="Arial" w:cs="Arial"/>
                <w:sz w:val="28"/>
                <w:szCs w:val="28"/>
              </w:rPr>
              <w:br/>
              <w:t>— сократилась область аккредитации испытательной лаборатории, которая является ее структурным подразделением;</w:t>
            </w:r>
            <w:r w:rsidRPr="000E018E">
              <w:rPr>
                <w:rFonts w:ascii="Arial" w:hAnsi="Arial" w:cs="Arial"/>
                <w:sz w:val="28"/>
                <w:szCs w:val="28"/>
              </w:rPr>
              <w:br/>
              <w:t xml:space="preserve">— изменился состав экспертов с сертификатом на право выполнения работ по СУОТ. </w:t>
            </w:r>
          </w:p>
          <w:p w:rsidR="004A2C22" w:rsidRPr="000E018E" w:rsidRDefault="004A2C22" w:rsidP="00A7069D">
            <w:pPr>
              <w:pStyle w:val="inline-p"/>
              <w:spacing w:after="280" w:afterAutospacing="1"/>
              <w:rPr>
                <w:rFonts w:ascii="Arial" w:hAnsi="Arial" w:cs="Arial"/>
                <w:sz w:val="28"/>
                <w:szCs w:val="28"/>
              </w:rPr>
            </w:pPr>
            <w:r w:rsidRPr="000E018E">
              <w:rPr>
                <w:rFonts w:ascii="Arial" w:hAnsi="Arial" w:cs="Arial"/>
                <w:sz w:val="28"/>
                <w:szCs w:val="28"/>
              </w:rPr>
              <w:t xml:space="preserve">Минтруд рассматривает информацию за 20 рабочих дней с момента ее регистрации. Если ведомство выявит факты нарушения, деятельность оценщика приостановят. Чтобы восстановить работу, экспертная организация должна </w:t>
            </w:r>
            <w:r w:rsidRPr="000E018E">
              <w:rPr>
                <w:rFonts w:ascii="Arial" w:hAnsi="Arial" w:cs="Arial"/>
                <w:sz w:val="28"/>
                <w:szCs w:val="28"/>
              </w:rPr>
              <w:lastRenderedPageBreak/>
              <w:t xml:space="preserve">предоставить в Минтруд копии документов, подтверждающих, что нарушения устранили. </w:t>
            </w:r>
          </w:p>
          <w:p w:rsidR="004A2C22" w:rsidRDefault="004A2C22" w:rsidP="00A7069D">
            <w:pPr>
              <w:pStyle w:val="inline-p"/>
            </w:pPr>
            <w:r w:rsidRPr="000E018E">
              <w:rPr>
                <w:rFonts w:ascii="Arial" w:hAnsi="Arial" w:cs="Arial"/>
                <w:sz w:val="28"/>
                <w:szCs w:val="28"/>
              </w:rPr>
              <w:t>Работодатель понесет убытки, если в ходе СОУТ госорганы приостановят деятельность экспертной организации. Поэтому при выборе организации запрашивайте не только сертификаты, но и действующие трудовые договоры с экспертами. Также проверяйте наличие и срок действия сертификата эксперта в реестре.</w:t>
            </w:r>
            <w:r>
              <w:t xml:space="preserve"> </w:t>
            </w:r>
            <w:bookmarkEnd w:id="0"/>
          </w:p>
        </w:tc>
      </w:tr>
    </w:tbl>
    <w:p w:rsidR="004A2C22" w:rsidRDefault="004A2C22" w:rsidP="004A2C22"/>
    <w:tbl>
      <w:tblPr>
        <w:tblW w:w="5000" w:type="pct"/>
        <w:tblInd w:w="54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4A2C22" w:rsidTr="00A7069D">
        <w:tc>
          <w:tcPr>
            <w:tcW w:w="0" w:type="auto"/>
            <w:shd w:val="clear" w:color="auto" w:fill="FBF3CD"/>
            <w:tcMar>
              <w:top w:w="330" w:type="dxa"/>
              <w:left w:w="540" w:type="dxa"/>
              <w:bottom w:w="360" w:type="dxa"/>
              <w:right w:w="540" w:type="dxa"/>
            </w:tcMar>
            <w:vAlign w:val="center"/>
          </w:tcPr>
          <w:p w:rsidR="004A2C22" w:rsidRDefault="004A2C22" w:rsidP="00A7069D">
            <w:pPr>
              <w:pStyle w:val="quiz2-question-p"/>
              <w:spacing w:after="280" w:afterAutospacing="1"/>
            </w:pPr>
            <w:r>
              <w:rPr>
                <w:b/>
                <w:bCs/>
              </w:rPr>
              <w:t>Сколько дней есть у членов комиссии и председателя, чтобы подписать и утвердить отчет о СОУТ?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24"/>
            </w:tblGrid>
            <w:tr w:rsidR="004A2C22" w:rsidTr="00A7069D">
              <w:tc>
                <w:tcPr>
                  <w:tcW w:w="0" w:type="auto"/>
                  <w:tcBorders>
                    <w:top w:val="single" w:sz="6" w:space="0" w:color="E7E0BC"/>
                    <w:left w:val="single" w:sz="6" w:space="0" w:color="E7E0BC"/>
                    <w:bottom w:val="single" w:sz="6" w:space="0" w:color="E7E0BC"/>
                    <w:right w:val="single" w:sz="6" w:space="0" w:color="E7E0B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A2C22" w:rsidRDefault="004A2C22" w:rsidP="00A7069D">
                  <w:pPr>
                    <w:pStyle w:val="Tdquiz2-answer"/>
                    <w:spacing w:after="0"/>
                  </w:pPr>
                  <w:r>
                    <w:t>30 рабочих дней</w:t>
                  </w:r>
                </w:p>
              </w:tc>
            </w:tr>
            <w:tr w:rsidR="004A2C22" w:rsidTr="00A7069D">
              <w:tc>
                <w:tcPr>
                  <w:tcW w:w="0" w:type="auto"/>
                  <w:tcBorders>
                    <w:top w:val="single" w:sz="6" w:space="0" w:color="E7E0BC"/>
                    <w:left w:val="single" w:sz="6" w:space="0" w:color="E7E0BC"/>
                    <w:bottom w:val="single" w:sz="6" w:space="0" w:color="E7E0BC"/>
                    <w:right w:val="single" w:sz="6" w:space="0" w:color="E7E0B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A2C22" w:rsidRDefault="004A2C22" w:rsidP="00A7069D">
                  <w:pPr>
                    <w:pStyle w:val="Tdquiz2-answer"/>
                    <w:spacing w:after="0"/>
                  </w:pPr>
                  <w:r>
                    <w:t>30 календарных дней</w:t>
                  </w:r>
                </w:p>
              </w:tc>
            </w:tr>
            <w:tr w:rsidR="004A2C22" w:rsidTr="00A7069D">
              <w:tc>
                <w:tcPr>
                  <w:tcW w:w="0" w:type="auto"/>
                  <w:tcBorders>
                    <w:top w:val="single" w:sz="6" w:space="0" w:color="E7E0BC"/>
                    <w:left w:val="single" w:sz="6" w:space="0" w:color="E7E0BC"/>
                    <w:bottom w:val="single" w:sz="6" w:space="0" w:color="E7E0BC"/>
                    <w:right w:val="single" w:sz="6" w:space="0" w:color="E7E0B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A2C22" w:rsidRDefault="004A2C22" w:rsidP="00A7069D">
                  <w:pPr>
                    <w:pStyle w:val="Tdquiz2-answer"/>
                    <w:spacing w:after="0"/>
                  </w:pPr>
                  <w:r>
                    <w:t>Срок не регламентирован</w:t>
                  </w:r>
                </w:p>
              </w:tc>
            </w:tr>
          </w:tbl>
          <w:p w:rsidR="004A2C22" w:rsidRDefault="004A2C22" w:rsidP="00A7069D">
            <w:pPr>
              <w:pStyle w:val="quiz2-rightanswer"/>
              <w:spacing w:after="0"/>
            </w:pPr>
          </w:p>
        </w:tc>
      </w:tr>
    </w:tbl>
    <w:p w:rsidR="004A2C22" w:rsidRDefault="004A2C22" w:rsidP="004A2C22">
      <w:pPr>
        <w:spacing w:after="280" w:afterAutospacing="1"/>
      </w:pPr>
      <w:r>
        <w:br/>
        <w:t xml:space="preserve">  </w:t>
      </w:r>
    </w:p>
    <w:p w:rsidR="00D71655" w:rsidRDefault="00D71655"/>
    <w:sectPr w:rsidR="00D71655" w:rsidSect="00E27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189"/>
    <w:rsid w:val="000E018E"/>
    <w:rsid w:val="002D5189"/>
    <w:rsid w:val="004A2C22"/>
    <w:rsid w:val="00D71655"/>
    <w:rsid w:val="00E2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2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2C22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2C22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C22"/>
    <w:rPr>
      <w:rFonts w:ascii="Arial" w:eastAsia="Arial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A2C22"/>
    <w:rPr>
      <w:rFonts w:ascii="Arial" w:eastAsia="Arial" w:hAnsi="Arial" w:cs="Arial"/>
      <w:lang w:eastAsia="ru-RU"/>
    </w:rPr>
  </w:style>
  <w:style w:type="paragraph" w:customStyle="1" w:styleId="quiz2-question-p">
    <w:name w:val="quiz2-question-p"/>
    <w:basedOn w:val="a"/>
    <w:rsid w:val="004A2C22"/>
    <w:rPr>
      <w:rFonts w:ascii="Arial" w:eastAsia="Arial" w:hAnsi="Arial" w:cs="Arial"/>
      <w:color w:val="403D32"/>
    </w:rPr>
  </w:style>
  <w:style w:type="paragraph" w:customStyle="1" w:styleId="remark-p">
    <w:name w:val="remark-p"/>
    <w:basedOn w:val="a"/>
    <w:rsid w:val="004A2C22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4A2C22"/>
    <w:rPr>
      <w:sz w:val="24"/>
      <w:szCs w:val="24"/>
    </w:rPr>
  </w:style>
  <w:style w:type="paragraph" w:customStyle="1" w:styleId="inline-p">
    <w:name w:val="inline-p"/>
    <w:basedOn w:val="a"/>
    <w:rsid w:val="004A2C22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quiz2-rightanswer">
    <w:name w:val="quiz2-rightanswer"/>
    <w:basedOn w:val="a"/>
    <w:rsid w:val="004A2C22"/>
    <w:rPr>
      <w:vanish/>
    </w:rPr>
  </w:style>
  <w:style w:type="character" w:customStyle="1" w:styleId="Spanlink">
    <w:name w:val="Span_link"/>
    <w:basedOn w:val="a0"/>
    <w:rsid w:val="004A2C22"/>
    <w:rPr>
      <w:color w:val="008200"/>
    </w:rPr>
  </w:style>
  <w:style w:type="paragraph" w:customStyle="1" w:styleId="H3remark-h3">
    <w:name w:val="H3_remark-h3"/>
    <w:basedOn w:val="3"/>
    <w:rsid w:val="004A2C22"/>
    <w:pPr>
      <w:keepLines w:val="0"/>
      <w:spacing w:before="0" w:line="260" w:lineRule="atLeast"/>
    </w:pPr>
    <w:rPr>
      <w:rFonts w:ascii="Arial" w:eastAsia="Arial" w:hAnsi="Arial" w:cs="Arial"/>
      <w:color w:val="000000"/>
    </w:rPr>
  </w:style>
  <w:style w:type="paragraph" w:customStyle="1" w:styleId="H3inline-h3">
    <w:name w:val="H3_inline-h3"/>
    <w:basedOn w:val="3"/>
    <w:rsid w:val="004A2C22"/>
    <w:pPr>
      <w:keepLines w:val="0"/>
      <w:spacing w:before="360"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Tdquiz2-answer">
    <w:name w:val="Td_quiz2-answer"/>
    <w:basedOn w:val="a"/>
    <w:rsid w:val="004A2C22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A2C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E0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2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2C22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2C22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C22"/>
    <w:rPr>
      <w:rFonts w:ascii="Arial" w:eastAsia="Arial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A2C22"/>
    <w:rPr>
      <w:rFonts w:ascii="Arial" w:eastAsia="Arial" w:hAnsi="Arial" w:cs="Arial"/>
      <w:lang w:eastAsia="ru-RU"/>
    </w:rPr>
  </w:style>
  <w:style w:type="paragraph" w:customStyle="1" w:styleId="quiz2-question-p">
    <w:name w:val="quiz2-question-p"/>
    <w:basedOn w:val="a"/>
    <w:rsid w:val="004A2C22"/>
    <w:rPr>
      <w:rFonts w:ascii="Arial" w:eastAsia="Arial" w:hAnsi="Arial" w:cs="Arial"/>
      <w:color w:val="403D32"/>
    </w:rPr>
  </w:style>
  <w:style w:type="paragraph" w:customStyle="1" w:styleId="remark-p">
    <w:name w:val="remark-p"/>
    <w:basedOn w:val="a"/>
    <w:rsid w:val="004A2C22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4A2C22"/>
    <w:rPr>
      <w:sz w:val="24"/>
      <w:szCs w:val="24"/>
    </w:rPr>
  </w:style>
  <w:style w:type="paragraph" w:customStyle="1" w:styleId="inline-p">
    <w:name w:val="inline-p"/>
    <w:basedOn w:val="a"/>
    <w:rsid w:val="004A2C22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quiz2-rightanswer">
    <w:name w:val="quiz2-rightanswer"/>
    <w:basedOn w:val="a"/>
    <w:rsid w:val="004A2C22"/>
    <w:rPr>
      <w:vanish/>
    </w:rPr>
  </w:style>
  <w:style w:type="character" w:customStyle="1" w:styleId="Spanlink">
    <w:name w:val="Span_link"/>
    <w:basedOn w:val="a0"/>
    <w:rsid w:val="004A2C22"/>
    <w:rPr>
      <w:color w:val="008200"/>
    </w:rPr>
  </w:style>
  <w:style w:type="paragraph" w:customStyle="1" w:styleId="H3remark-h3">
    <w:name w:val="H3_remark-h3"/>
    <w:basedOn w:val="3"/>
    <w:rsid w:val="004A2C22"/>
    <w:pPr>
      <w:keepLines w:val="0"/>
      <w:spacing w:before="0" w:line="260" w:lineRule="atLeast"/>
    </w:pPr>
    <w:rPr>
      <w:rFonts w:ascii="Arial" w:eastAsia="Arial" w:hAnsi="Arial" w:cs="Arial"/>
      <w:color w:val="000000"/>
    </w:rPr>
  </w:style>
  <w:style w:type="paragraph" w:customStyle="1" w:styleId="H3inline-h3">
    <w:name w:val="H3_inline-h3"/>
    <w:basedOn w:val="3"/>
    <w:rsid w:val="004A2C22"/>
    <w:pPr>
      <w:keepLines w:val="0"/>
      <w:spacing w:before="360"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Tdquiz2-answer">
    <w:name w:val="Td_quiz2-answer"/>
    <w:basedOn w:val="a"/>
    <w:rsid w:val="004A2C22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A2C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Zverdvd.org</cp:lastModifiedBy>
  <cp:revision>3</cp:revision>
  <dcterms:created xsi:type="dcterms:W3CDTF">2020-02-06T07:55:00Z</dcterms:created>
  <dcterms:modified xsi:type="dcterms:W3CDTF">2020-02-06T12:15:00Z</dcterms:modified>
</cp:coreProperties>
</file>