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88" w:rsidRPr="00346C37" w:rsidRDefault="00E33188" w:rsidP="00E33188">
      <w:pPr>
        <w:rPr>
          <w:szCs w:val="28"/>
        </w:rPr>
      </w:pPr>
      <w:r>
        <w:rPr>
          <w:b/>
          <w:noProof/>
          <w:szCs w:val="28"/>
        </w:rPr>
        <w:t xml:space="preserve">                                                                                         </w:t>
      </w:r>
      <w:r>
        <w:rPr>
          <w:b/>
          <w:noProof/>
          <w:szCs w:val="28"/>
        </w:rPr>
        <w:drawing>
          <wp:inline distT="0" distB="0" distL="0" distR="0">
            <wp:extent cx="588645" cy="69151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188" w:rsidRDefault="00E33188" w:rsidP="00E33188">
      <w:pPr>
        <w:jc w:val="center"/>
        <w:rPr>
          <w:b/>
          <w:szCs w:val="28"/>
        </w:rPr>
      </w:pPr>
      <w:r w:rsidRPr="00346C37">
        <w:rPr>
          <w:b/>
          <w:szCs w:val="28"/>
        </w:rPr>
        <w:t xml:space="preserve">КОНТРОЛЬНО-РЕВИЗИОННАЯ  КОМИССИЯ МУНИЦИПАЛЬНОГО  ОБРАЗОВАНИЯ  </w:t>
      </w:r>
    </w:p>
    <w:p w:rsidR="00E33188" w:rsidRPr="00346C37" w:rsidRDefault="00E33188" w:rsidP="00E33188">
      <w:pPr>
        <w:jc w:val="center"/>
        <w:rPr>
          <w:b/>
          <w:szCs w:val="28"/>
        </w:rPr>
      </w:pPr>
      <w:r w:rsidRPr="00346C37">
        <w:rPr>
          <w:b/>
          <w:szCs w:val="28"/>
        </w:rPr>
        <w:t>«УСТЬЯНСКИЙ  МУНИЦИПАЛЬНЫЙ  РАЙОН»</w:t>
      </w:r>
    </w:p>
    <w:p w:rsidR="00E33188" w:rsidRPr="00346C37" w:rsidRDefault="00E33188" w:rsidP="00E33188">
      <w:pPr>
        <w:jc w:val="center"/>
        <w:rPr>
          <w:szCs w:val="28"/>
        </w:rPr>
      </w:pPr>
    </w:p>
    <w:p w:rsidR="00E33188" w:rsidRPr="00346C37" w:rsidRDefault="00E33188" w:rsidP="00E33188">
      <w:pPr>
        <w:jc w:val="center"/>
        <w:rPr>
          <w:szCs w:val="28"/>
        </w:rPr>
      </w:pPr>
    </w:p>
    <w:p w:rsidR="00E33188" w:rsidRPr="00346C37" w:rsidRDefault="00E33188" w:rsidP="00E33188">
      <w:pPr>
        <w:jc w:val="center"/>
        <w:rPr>
          <w:szCs w:val="28"/>
        </w:rPr>
      </w:pPr>
      <w:r w:rsidRPr="00346C37">
        <w:rPr>
          <w:szCs w:val="28"/>
        </w:rPr>
        <w:t xml:space="preserve">                                 </w:t>
      </w:r>
    </w:p>
    <w:p w:rsidR="00E33188" w:rsidRDefault="00E33188" w:rsidP="00E33188">
      <w:pPr>
        <w:jc w:val="center"/>
        <w:rPr>
          <w:b/>
          <w:bCs/>
          <w:sz w:val="24"/>
          <w:szCs w:val="24"/>
        </w:rPr>
      </w:pPr>
    </w:p>
    <w:p w:rsidR="00E33188" w:rsidRDefault="00E33188" w:rsidP="00E33188">
      <w:pPr>
        <w:jc w:val="center"/>
        <w:rPr>
          <w:b/>
          <w:bCs/>
          <w:sz w:val="24"/>
          <w:szCs w:val="24"/>
        </w:rPr>
      </w:pPr>
    </w:p>
    <w:p w:rsidR="00E33188" w:rsidRPr="00CF272F" w:rsidRDefault="00E33188" w:rsidP="00E33188">
      <w:pPr>
        <w:jc w:val="center"/>
        <w:rPr>
          <w:b/>
          <w:bCs/>
          <w:sz w:val="24"/>
          <w:szCs w:val="24"/>
        </w:rPr>
      </w:pPr>
      <w:r w:rsidRPr="00CF272F">
        <w:rPr>
          <w:b/>
          <w:bCs/>
          <w:sz w:val="24"/>
          <w:szCs w:val="24"/>
        </w:rPr>
        <w:t>СТАНДАРТ ВНЕШНЕГО МУНИЦИПАЛЬНОГО</w:t>
      </w:r>
    </w:p>
    <w:p w:rsidR="00E33188" w:rsidRPr="00CF272F" w:rsidRDefault="00E33188" w:rsidP="00E33188">
      <w:pPr>
        <w:jc w:val="center"/>
        <w:rPr>
          <w:b/>
          <w:bCs/>
          <w:sz w:val="24"/>
          <w:szCs w:val="24"/>
        </w:rPr>
      </w:pPr>
      <w:r w:rsidRPr="00CF272F">
        <w:rPr>
          <w:b/>
          <w:bCs/>
          <w:sz w:val="24"/>
          <w:szCs w:val="24"/>
        </w:rPr>
        <w:t>ФИНАНСОВОГО КОНТРОЛЯ</w:t>
      </w:r>
    </w:p>
    <w:p w:rsidR="00E33188" w:rsidRPr="00346C37" w:rsidRDefault="00E33188" w:rsidP="00E33188">
      <w:pPr>
        <w:jc w:val="center"/>
        <w:rPr>
          <w:szCs w:val="28"/>
        </w:rPr>
      </w:pPr>
      <w:r w:rsidRPr="00346C37">
        <w:rPr>
          <w:szCs w:val="28"/>
        </w:rPr>
        <w:t xml:space="preserve">                                     </w:t>
      </w:r>
    </w:p>
    <w:p w:rsidR="00E33188" w:rsidRDefault="00E33188" w:rsidP="00E33188">
      <w:pPr>
        <w:jc w:val="center"/>
        <w:rPr>
          <w:szCs w:val="28"/>
        </w:rPr>
      </w:pPr>
    </w:p>
    <w:p w:rsidR="00E33188" w:rsidRDefault="00E33188" w:rsidP="00E33188">
      <w:pPr>
        <w:jc w:val="center"/>
        <w:rPr>
          <w:szCs w:val="28"/>
        </w:rPr>
      </w:pPr>
    </w:p>
    <w:p w:rsidR="00E33188" w:rsidRDefault="00E33188" w:rsidP="00E33188">
      <w:pPr>
        <w:jc w:val="center"/>
        <w:rPr>
          <w:szCs w:val="28"/>
        </w:rPr>
      </w:pPr>
    </w:p>
    <w:p w:rsidR="00E33188" w:rsidRPr="00346C37" w:rsidRDefault="00E33188" w:rsidP="00E33188">
      <w:pPr>
        <w:jc w:val="center"/>
        <w:rPr>
          <w:szCs w:val="28"/>
        </w:rPr>
      </w:pPr>
    </w:p>
    <w:p w:rsidR="00E33188" w:rsidRPr="00346C37" w:rsidRDefault="00E33188" w:rsidP="00E33188">
      <w:pPr>
        <w:jc w:val="center"/>
        <w:rPr>
          <w:szCs w:val="28"/>
        </w:rPr>
      </w:pPr>
    </w:p>
    <w:p w:rsidR="00E33188" w:rsidRPr="00B079C0" w:rsidRDefault="00CC7786" w:rsidP="00E33188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СВМФК-01-11-3</w:t>
      </w:r>
    </w:p>
    <w:p w:rsidR="00E33188" w:rsidRPr="00346C37" w:rsidRDefault="00E042C4" w:rsidP="00E33188">
      <w:pPr>
        <w:jc w:val="center"/>
        <w:rPr>
          <w:rFonts w:eastAsia="Calibri"/>
          <w:szCs w:val="28"/>
          <w:lang w:eastAsia="en-US"/>
        </w:rPr>
      </w:pPr>
      <w:r w:rsidRPr="00AA63B3">
        <w:rPr>
          <w:b/>
          <w:sz w:val="28"/>
          <w:szCs w:val="28"/>
        </w:rPr>
        <w:t>«Проведение последующего контроля за исполнением местного бюджета»</w:t>
      </w:r>
      <w:r w:rsidRPr="00AA63B3">
        <w:rPr>
          <w:sz w:val="28"/>
          <w:szCs w:val="28"/>
        </w:rPr>
        <w:t xml:space="preserve"> </w:t>
      </w:r>
      <w:r w:rsidR="00E33188" w:rsidRPr="00346C37">
        <w:rPr>
          <w:rFonts w:eastAsia="Calibri"/>
          <w:szCs w:val="28"/>
          <w:lang w:eastAsia="en-US"/>
        </w:rPr>
        <w:t>(утвержден распоряжением контрольно-</w:t>
      </w:r>
      <w:r w:rsidR="00E33188">
        <w:rPr>
          <w:rFonts w:eastAsia="Calibri"/>
          <w:szCs w:val="28"/>
          <w:lang w:eastAsia="en-US"/>
        </w:rPr>
        <w:t>ревизионной комиссии</w:t>
      </w:r>
      <w:r w:rsidR="00E33188" w:rsidRPr="00346C37">
        <w:rPr>
          <w:rFonts w:eastAsia="Calibri"/>
          <w:szCs w:val="28"/>
          <w:lang w:eastAsia="en-US"/>
        </w:rPr>
        <w:t xml:space="preserve">   </w:t>
      </w:r>
      <w:r w:rsidR="00E33188" w:rsidRPr="00666A91">
        <w:rPr>
          <w:rFonts w:eastAsia="Calibri"/>
          <w:szCs w:val="28"/>
          <w:lang w:eastAsia="en-US"/>
        </w:rPr>
        <w:t>28.12.2018г. №</w:t>
      </w:r>
      <w:r w:rsidR="00E33188">
        <w:rPr>
          <w:rFonts w:eastAsia="Calibri"/>
          <w:szCs w:val="28"/>
          <w:lang w:eastAsia="en-US"/>
        </w:rPr>
        <w:t>8</w:t>
      </w:r>
      <w:r w:rsidR="00E33188" w:rsidRPr="00346C37">
        <w:rPr>
          <w:rFonts w:eastAsia="Calibri"/>
          <w:szCs w:val="28"/>
          <w:lang w:eastAsia="en-US"/>
        </w:rPr>
        <w:t>)</w:t>
      </w:r>
    </w:p>
    <w:p w:rsidR="00E33188" w:rsidRPr="00CF272F" w:rsidRDefault="00E33188" w:rsidP="00E33188">
      <w:pPr>
        <w:ind w:firstLine="709"/>
        <w:jc w:val="center"/>
        <w:rPr>
          <w:rFonts w:eastAsia="Calibri"/>
          <w:sz w:val="22"/>
          <w:szCs w:val="22"/>
          <w:lang w:eastAsia="en-US"/>
        </w:rPr>
      </w:pPr>
    </w:p>
    <w:p w:rsidR="006D5D27" w:rsidRPr="00967B5D" w:rsidRDefault="006D5D27" w:rsidP="006D5D27">
      <w:pPr>
        <w:widowControl w:val="0"/>
        <w:jc w:val="center"/>
        <w:rPr>
          <w:sz w:val="28"/>
          <w:szCs w:val="28"/>
        </w:rPr>
      </w:pPr>
    </w:p>
    <w:p w:rsidR="006D5D27" w:rsidRPr="00967B5D" w:rsidRDefault="006D5D27" w:rsidP="006D5D27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3D6CFA" w:rsidRDefault="003D6CFA" w:rsidP="003D6CFA">
      <w:pPr>
        <w:widowControl w:val="0"/>
        <w:jc w:val="center"/>
        <w:rPr>
          <w:sz w:val="28"/>
          <w:szCs w:val="28"/>
        </w:rPr>
      </w:pPr>
    </w:p>
    <w:p w:rsidR="006D5D27" w:rsidRPr="00967B5D" w:rsidRDefault="00E042C4" w:rsidP="003D6CF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п.Октябрьский</w:t>
      </w:r>
    </w:p>
    <w:p w:rsidR="006D5D27" w:rsidRPr="00967B5D" w:rsidRDefault="006D5D27" w:rsidP="006D5D27">
      <w:pPr>
        <w:widowControl w:val="0"/>
        <w:jc w:val="center"/>
        <w:rPr>
          <w:sz w:val="28"/>
          <w:szCs w:val="28"/>
        </w:rPr>
      </w:pPr>
    </w:p>
    <w:p w:rsidR="00E042C4" w:rsidRDefault="00E042C4" w:rsidP="00292EB2">
      <w:pPr>
        <w:widowControl w:val="0"/>
        <w:jc w:val="center"/>
        <w:rPr>
          <w:b/>
          <w:sz w:val="28"/>
          <w:szCs w:val="28"/>
        </w:rPr>
      </w:pPr>
    </w:p>
    <w:p w:rsidR="00E042C4" w:rsidRDefault="00E042C4" w:rsidP="00292EB2">
      <w:pPr>
        <w:widowControl w:val="0"/>
        <w:jc w:val="center"/>
        <w:rPr>
          <w:b/>
          <w:sz w:val="28"/>
          <w:szCs w:val="28"/>
        </w:rPr>
      </w:pPr>
    </w:p>
    <w:p w:rsidR="00E042C4" w:rsidRDefault="00E042C4" w:rsidP="00292EB2">
      <w:pPr>
        <w:widowControl w:val="0"/>
        <w:jc w:val="center"/>
        <w:rPr>
          <w:b/>
          <w:sz w:val="28"/>
          <w:szCs w:val="28"/>
        </w:rPr>
      </w:pPr>
    </w:p>
    <w:p w:rsidR="00292EB2" w:rsidRPr="005047D4" w:rsidRDefault="00292EB2" w:rsidP="00292EB2">
      <w:pPr>
        <w:widowControl w:val="0"/>
        <w:jc w:val="center"/>
        <w:rPr>
          <w:b/>
          <w:sz w:val="28"/>
          <w:szCs w:val="28"/>
        </w:rPr>
      </w:pPr>
      <w:r w:rsidRPr="005047D4">
        <w:rPr>
          <w:b/>
          <w:sz w:val="28"/>
          <w:szCs w:val="28"/>
        </w:rPr>
        <w:t>СОДЕРЖАНИЕ</w:t>
      </w:r>
    </w:p>
    <w:p w:rsidR="00292EB2" w:rsidRPr="005047D4" w:rsidRDefault="00292EB2" w:rsidP="00292EB2">
      <w:pPr>
        <w:pStyle w:val="11"/>
        <w:tabs>
          <w:tab w:val="right" w:leader="dot" w:pos="9627"/>
        </w:tabs>
        <w:rPr>
          <w:sz w:val="28"/>
          <w:szCs w:val="28"/>
        </w:rPr>
      </w:pPr>
    </w:p>
    <w:p w:rsidR="009533CA" w:rsidRDefault="00AC2E2F">
      <w:pPr>
        <w:pStyle w:val="11"/>
        <w:tabs>
          <w:tab w:val="right" w:leader="dot" w:pos="9628"/>
        </w:tabs>
      </w:pPr>
      <w:r w:rsidRPr="009533CA">
        <w:rPr>
          <w:sz w:val="28"/>
          <w:szCs w:val="28"/>
        </w:rPr>
        <w:fldChar w:fldCharType="begin"/>
      </w:r>
      <w:r w:rsidR="00292EB2" w:rsidRPr="009533CA">
        <w:rPr>
          <w:sz w:val="28"/>
          <w:szCs w:val="28"/>
        </w:rPr>
        <w:instrText xml:space="preserve"> TOC \o "1-3" \h \z \u </w:instrText>
      </w:r>
      <w:r w:rsidRPr="009533CA">
        <w:rPr>
          <w:sz w:val="28"/>
          <w:szCs w:val="28"/>
        </w:rPr>
        <w:fldChar w:fldCharType="separate"/>
      </w:r>
      <w:hyperlink w:anchor="_Toc419711048" w:history="1"/>
    </w:p>
    <w:p w:rsidR="00CC7786" w:rsidRPr="00CC7786" w:rsidRDefault="00CC7786" w:rsidP="00CC7786">
      <w:pPr>
        <w:rPr>
          <w:sz w:val="28"/>
          <w:szCs w:val="28"/>
        </w:rPr>
      </w:pPr>
      <w:r w:rsidRPr="00CC7786">
        <w:rPr>
          <w:sz w:val="28"/>
          <w:szCs w:val="28"/>
        </w:rPr>
        <w:t>1. Общие положения</w:t>
      </w:r>
      <w:r>
        <w:rPr>
          <w:sz w:val="28"/>
          <w:szCs w:val="28"/>
        </w:rPr>
        <w:t>………………………………………………………………….3</w:t>
      </w:r>
    </w:p>
    <w:p w:rsidR="009533CA" w:rsidRPr="009533CA" w:rsidRDefault="00AC2E2F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419711049" w:history="1">
        <w:r w:rsidR="009533CA" w:rsidRPr="009533CA">
          <w:rPr>
            <w:rStyle w:val="ad"/>
            <w:noProof/>
            <w:sz w:val="28"/>
            <w:szCs w:val="28"/>
          </w:rPr>
          <w:t>2.</w:t>
        </w:r>
        <w:r w:rsidR="00360405">
          <w:rPr>
            <w:rStyle w:val="ad"/>
            <w:noProof/>
            <w:sz w:val="28"/>
            <w:szCs w:val="28"/>
          </w:rPr>
          <w:t> </w:t>
        </w:r>
        <w:r w:rsidR="009533CA" w:rsidRPr="009533CA">
          <w:rPr>
            <w:rStyle w:val="ad"/>
            <w:noProof/>
            <w:sz w:val="28"/>
            <w:szCs w:val="28"/>
          </w:rPr>
          <w:t xml:space="preserve">Содержание </w:t>
        </w:r>
        <w:r w:rsidR="00E042C4">
          <w:rPr>
            <w:rStyle w:val="ad"/>
            <w:noProof/>
            <w:sz w:val="28"/>
            <w:szCs w:val="28"/>
          </w:rPr>
          <w:t xml:space="preserve">последующего </w:t>
        </w:r>
        <w:r w:rsidR="009533CA" w:rsidRPr="009533CA">
          <w:rPr>
            <w:rStyle w:val="ad"/>
            <w:noProof/>
            <w:sz w:val="28"/>
            <w:szCs w:val="28"/>
          </w:rPr>
          <w:t>контроля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  <w:r w:rsidR="00E042C4">
          <w:rPr>
            <w:noProof/>
            <w:webHidden/>
            <w:sz w:val="28"/>
            <w:szCs w:val="28"/>
          </w:rPr>
          <w:t>3</w:t>
        </w:r>
      </w:hyperlink>
    </w:p>
    <w:p w:rsidR="009533CA" w:rsidRPr="009533CA" w:rsidRDefault="00AC2E2F" w:rsidP="00E042C4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419711050" w:history="1">
        <w:r w:rsidR="009533CA" w:rsidRPr="009533CA">
          <w:rPr>
            <w:rStyle w:val="ad"/>
            <w:noProof/>
            <w:sz w:val="28"/>
            <w:szCs w:val="28"/>
          </w:rPr>
          <w:t>3. </w:t>
        </w:r>
        <w:r w:rsidR="00E042C4" w:rsidRPr="00AA63B3">
          <w:rPr>
            <w:sz w:val="28"/>
            <w:szCs w:val="28"/>
          </w:rPr>
          <w:t>Нормативная правовая и информационная основы последующего контроля</w:t>
        </w:r>
        <w:r w:rsidR="00E042C4">
          <w:rPr>
            <w:sz w:val="28"/>
            <w:szCs w:val="28"/>
          </w:rPr>
          <w:t>..</w:t>
        </w:r>
        <w:r w:rsidR="00E042C4">
          <w:rPr>
            <w:noProof/>
            <w:webHidden/>
            <w:sz w:val="28"/>
            <w:szCs w:val="28"/>
          </w:rPr>
          <w:t>6</w:t>
        </w:r>
      </w:hyperlink>
    </w:p>
    <w:p w:rsidR="009533CA" w:rsidRPr="009533CA" w:rsidRDefault="00AC2E2F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419711051" w:history="1">
        <w:r w:rsidR="009533CA" w:rsidRPr="009533CA">
          <w:rPr>
            <w:rStyle w:val="ad"/>
            <w:noProof/>
            <w:sz w:val="28"/>
            <w:szCs w:val="28"/>
          </w:rPr>
          <w:t xml:space="preserve">4. Основные этапы </w:t>
        </w:r>
        <w:r w:rsidR="00E042C4">
          <w:rPr>
            <w:rStyle w:val="ad"/>
            <w:noProof/>
            <w:sz w:val="28"/>
            <w:szCs w:val="28"/>
          </w:rPr>
          <w:t xml:space="preserve">последующего </w:t>
        </w:r>
        <w:r w:rsidR="009533CA" w:rsidRPr="009533CA">
          <w:rPr>
            <w:rStyle w:val="ad"/>
            <w:noProof/>
            <w:sz w:val="28"/>
            <w:szCs w:val="28"/>
          </w:rPr>
          <w:t>контроля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  <w:r w:rsidR="00E042C4">
          <w:rPr>
            <w:noProof/>
            <w:webHidden/>
            <w:sz w:val="28"/>
            <w:szCs w:val="28"/>
          </w:rPr>
          <w:t>6</w:t>
        </w:r>
      </w:hyperlink>
    </w:p>
    <w:p w:rsidR="009533CA" w:rsidRPr="009533CA" w:rsidRDefault="00AC2E2F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419711052" w:history="1">
        <w:r w:rsidR="00E042C4">
          <w:rPr>
            <w:rStyle w:val="ad"/>
            <w:noProof/>
            <w:sz w:val="28"/>
            <w:szCs w:val="28"/>
          </w:rPr>
          <w:t>5</w:t>
        </w:r>
        <w:r w:rsidR="009533CA" w:rsidRPr="009533CA">
          <w:rPr>
            <w:rStyle w:val="ad"/>
            <w:noProof/>
            <w:sz w:val="28"/>
            <w:szCs w:val="28"/>
          </w:rPr>
          <w:t xml:space="preserve">. Подготовка к проведению </w:t>
        </w:r>
        <w:r w:rsidR="00E042C4">
          <w:rPr>
            <w:rStyle w:val="ad"/>
            <w:noProof/>
            <w:sz w:val="28"/>
            <w:szCs w:val="28"/>
          </w:rPr>
          <w:t xml:space="preserve">последующего </w:t>
        </w:r>
        <w:r w:rsidR="009533CA" w:rsidRPr="009533CA">
          <w:rPr>
            <w:rStyle w:val="ad"/>
            <w:noProof/>
            <w:sz w:val="28"/>
            <w:szCs w:val="28"/>
          </w:rPr>
          <w:t>контроля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  <w:r w:rsidR="00E042C4">
          <w:rPr>
            <w:noProof/>
            <w:webHidden/>
            <w:sz w:val="28"/>
            <w:szCs w:val="28"/>
          </w:rPr>
          <w:t>6</w:t>
        </w:r>
      </w:hyperlink>
    </w:p>
    <w:p w:rsidR="009533CA" w:rsidRPr="009533CA" w:rsidRDefault="00AC2E2F">
      <w:pPr>
        <w:pStyle w:val="11"/>
        <w:tabs>
          <w:tab w:val="right" w:leader="dot" w:pos="9628"/>
        </w:tabs>
        <w:rPr>
          <w:rFonts w:ascii="Calibri" w:hAnsi="Calibri"/>
          <w:noProof/>
          <w:sz w:val="28"/>
          <w:szCs w:val="28"/>
        </w:rPr>
      </w:pPr>
      <w:hyperlink w:anchor="_Toc419711053" w:history="1">
        <w:r w:rsidR="00E042C4">
          <w:rPr>
            <w:rStyle w:val="ad"/>
            <w:noProof/>
            <w:sz w:val="28"/>
            <w:szCs w:val="28"/>
          </w:rPr>
          <w:t>6</w:t>
        </w:r>
        <w:r w:rsidR="009533CA" w:rsidRPr="009533CA">
          <w:rPr>
            <w:rStyle w:val="ad"/>
            <w:noProof/>
            <w:sz w:val="28"/>
            <w:szCs w:val="28"/>
          </w:rPr>
          <w:t xml:space="preserve">. Непосредственное проведение </w:t>
        </w:r>
        <w:r w:rsidR="00E042C4">
          <w:rPr>
            <w:rStyle w:val="ad"/>
            <w:noProof/>
            <w:sz w:val="28"/>
            <w:szCs w:val="28"/>
          </w:rPr>
          <w:t>последующего</w:t>
        </w:r>
        <w:r w:rsidR="008F09BF">
          <w:rPr>
            <w:sz w:val="28"/>
            <w:szCs w:val="28"/>
          </w:rPr>
          <w:t xml:space="preserve"> к</w:t>
        </w:r>
        <w:r w:rsidR="009533CA" w:rsidRPr="009533CA">
          <w:rPr>
            <w:rStyle w:val="ad"/>
            <w:noProof/>
            <w:sz w:val="28"/>
            <w:szCs w:val="28"/>
          </w:rPr>
          <w:t>онтроля</w:t>
        </w:r>
        <w:r w:rsidR="009533CA" w:rsidRPr="009533CA">
          <w:rPr>
            <w:noProof/>
            <w:webHidden/>
            <w:sz w:val="28"/>
            <w:szCs w:val="28"/>
          </w:rPr>
          <w:tab/>
        </w:r>
      </w:hyperlink>
      <w:hyperlink w:anchor="_Toc419711054" w:history="1">
        <w:r w:rsidR="00E042C4">
          <w:rPr>
            <w:rStyle w:val="ad"/>
            <w:noProof/>
            <w:sz w:val="28"/>
            <w:szCs w:val="28"/>
          </w:rPr>
          <w:t>7</w:t>
        </w:r>
      </w:hyperlink>
    </w:p>
    <w:p w:rsidR="00E042C4" w:rsidRDefault="00AC2E2F" w:rsidP="00292EB2">
      <w:pPr>
        <w:rPr>
          <w:sz w:val="28"/>
          <w:szCs w:val="28"/>
        </w:rPr>
      </w:pPr>
      <w:r w:rsidRPr="009533CA">
        <w:rPr>
          <w:sz w:val="28"/>
          <w:szCs w:val="28"/>
        </w:rPr>
        <w:fldChar w:fldCharType="end"/>
      </w:r>
      <w:r w:rsidR="00E042C4">
        <w:rPr>
          <w:sz w:val="28"/>
          <w:szCs w:val="28"/>
        </w:rPr>
        <w:t>7</w:t>
      </w:r>
      <w:r w:rsidR="00AB3B46">
        <w:rPr>
          <w:sz w:val="28"/>
          <w:szCs w:val="28"/>
        </w:rPr>
        <w:t xml:space="preserve">. </w:t>
      </w:r>
      <w:r w:rsidR="00E042C4" w:rsidRPr="00AA63B3">
        <w:rPr>
          <w:sz w:val="28"/>
          <w:szCs w:val="28"/>
        </w:rPr>
        <w:t>Проведение проверки Отчета об исполнении бюджета за отчетный</w:t>
      </w:r>
      <w:r w:rsidR="00E042C4" w:rsidRPr="00E042C4">
        <w:rPr>
          <w:sz w:val="28"/>
          <w:szCs w:val="28"/>
        </w:rPr>
        <w:t xml:space="preserve"> </w:t>
      </w:r>
    </w:p>
    <w:p w:rsidR="00292EB2" w:rsidRPr="009533CA" w:rsidRDefault="00E042C4" w:rsidP="00292EB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A63B3">
        <w:rPr>
          <w:sz w:val="28"/>
          <w:szCs w:val="28"/>
        </w:rPr>
        <w:t xml:space="preserve">финансовый </w:t>
      </w:r>
      <w:r>
        <w:rPr>
          <w:sz w:val="28"/>
          <w:szCs w:val="28"/>
        </w:rPr>
        <w:t xml:space="preserve"> </w:t>
      </w:r>
      <w:r w:rsidRPr="00AA63B3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="00CA41C6">
        <w:rPr>
          <w:sz w:val="28"/>
          <w:szCs w:val="28"/>
        </w:rPr>
        <w:t>……</w:t>
      </w:r>
      <w:r w:rsidR="00CC7786">
        <w:rPr>
          <w:sz w:val="28"/>
          <w:szCs w:val="28"/>
        </w:rPr>
        <w:t>……………………………………………………………..</w:t>
      </w:r>
      <w:r w:rsidR="00B80E3E">
        <w:rPr>
          <w:sz w:val="28"/>
          <w:szCs w:val="28"/>
        </w:rPr>
        <w:t>7</w:t>
      </w:r>
    </w:p>
    <w:p w:rsidR="00292EB2" w:rsidRPr="005047D4" w:rsidRDefault="00292EB2" w:rsidP="00292EB2">
      <w:pPr>
        <w:widowControl w:val="0"/>
        <w:rPr>
          <w:sz w:val="28"/>
          <w:szCs w:val="28"/>
        </w:rPr>
      </w:pPr>
    </w:p>
    <w:p w:rsidR="00292EB2" w:rsidRDefault="00292EB2" w:rsidP="00292EB2">
      <w:pPr>
        <w:widowControl w:val="0"/>
        <w:rPr>
          <w:sz w:val="28"/>
          <w:szCs w:val="28"/>
        </w:rPr>
      </w:pPr>
    </w:p>
    <w:p w:rsidR="00292EB2" w:rsidRDefault="00292EB2" w:rsidP="00292EB2">
      <w:pPr>
        <w:widowControl w:val="0"/>
        <w:rPr>
          <w:sz w:val="28"/>
          <w:szCs w:val="28"/>
        </w:rPr>
      </w:pPr>
    </w:p>
    <w:p w:rsidR="00292EB2" w:rsidRDefault="00292EB2" w:rsidP="00292EB2">
      <w:pPr>
        <w:widowControl w:val="0"/>
        <w:rPr>
          <w:sz w:val="28"/>
          <w:szCs w:val="28"/>
        </w:rPr>
      </w:pPr>
    </w:p>
    <w:p w:rsidR="00292EB2" w:rsidRDefault="00292EB2" w:rsidP="00292EB2">
      <w:pPr>
        <w:widowControl w:val="0"/>
        <w:rPr>
          <w:sz w:val="28"/>
          <w:szCs w:val="28"/>
        </w:rPr>
      </w:pPr>
    </w:p>
    <w:p w:rsidR="00E042C4" w:rsidRPr="00AA63B3" w:rsidRDefault="00292EB2" w:rsidP="00E042C4">
      <w:pPr>
        <w:jc w:val="both"/>
        <w:rPr>
          <w:b/>
          <w:sz w:val="28"/>
          <w:szCs w:val="28"/>
        </w:rPr>
      </w:pPr>
      <w:r>
        <w:br w:type="page"/>
      </w:r>
      <w:r w:rsidR="00E042C4" w:rsidRPr="00AA63B3">
        <w:rPr>
          <w:b/>
          <w:sz w:val="28"/>
          <w:szCs w:val="28"/>
        </w:rPr>
        <w:lastRenderedPageBreak/>
        <w:t>1. Общие положения</w:t>
      </w:r>
    </w:p>
    <w:p w:rsidR="00E042C4" w:rsidRDefault="00E042C4" w:rsidP="00E042C4">
      <w:pPr>
        <w:jc w:val="both"/>
        <w:rPr>
          <w:sz w:val="28"/>
          <w:szCs w:val="28"/>
        </w:rPr>
      </w:pP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1.1. Стандарт внешнего муници</w:t>
      </w:r>
      <w:r>
        <w:rPr>
          <w:sz w:val="28"/>
          <w:szCs w:val="28"/>
        </w:rPr>
        <w:t xml:space="preserve">пального финансового контроля  </w:t>
      </w:r>
      <w:r w:rsidRPr="00AA63B3">
        <w:rPr>
          <w:sz w:val="28"/>
          <w:szCs w:val="28"/>
        </w:rPr>
        <w:t>«Проведение последующего контроля за исполнением местного бюджета» (далее - Стандарт) предназначен для регламентации деятельности Контрольно-</w:t>
      </w:r>
      <w:r>
        <w:rPr>
          <w:sz w:val="28"/>
          <w:szCs w:val="28"/>
        </w:rPr>
        <w:t xml:space="preserve">ревизионной комиссии муниципального образования «Устьянский муниципальный район» </w:t>
      </w:r>
      <w:r w:rsidRPr="00AA63B3">
        <w:rPr>
          <w:sz w:val="28"/>
          <w:szCs w:val="28"/>
        </w:rPr>
        <w:t xml:space="preserve"> (далее - Контрольно-</w:t>
      </w:r>
      <w:r>
        <w:rPr>
          <w:sz w:val="28"/>
          <w:szCs w:val="28"/>
        </w:rPr>
        <w:t>ревизионная комиссия</w:t>
      </w:r>
      <w:r w:rsidRPr="00AA63B3">
        <w:rPr>
          <w:sz w:val="28"/>
          <w:szCs w:val="28"/>
        </w:rPr>
        <w:t>) по осуществлению последующего контроля за исполнением местного бюджета (далее - последующий контроль) и подготовки заключения Контрольно-</w:t>
      </w:r>
      <w:r>
        <w:rPr>
          <w:sz w:val="28"/>
          <w:szCs w:val="28"/>
        </w:rPr>
        <w:t>ревизионной комиссии</w:t>
      </w:r>
      <w:r w:rsidRPr="00AA63B3">
        <w:rPr>
          <w:sz w:val="28"/>
          <w:szCs w:val="28"/>
        </w:rPr>
        <w:t xml:space="preserve"> на годовой отчет об исполнении местного бюджета.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1.2. Стандарт разработан с учетом положений Бюджетного кодекса Российской Федерации на основе Стандарта внешнего государственного аудита (контроля) СГА 203 «Последующий контроль за исполнением федерального бюджета», утвержденного Коллегией Счетной Палаты Российской Феде</w:t>
      </w:r>
      <w:r>
        <w:rPr>
          <w:sz w:val="28"/>
          <w:szCs w:val="28"/>
        </w:rPr>
        <w:t>рации, протокол от 20.02.2015 N</w:t>
      </w:r>
      <w:r w:rsidRPr="00AA63B3">
        <w:rPr>
          <w:sz w:val="28"/>
          <w:szCs w:val="28"/>
        </w:rPr>
        <w:t>5К (1016).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1.3. Целью Стандарта является установление единых требований, правил и процедур по проведению последующего контроля за исполнением местного бюджета, осуществляемого Контрольно-</w:t>
      </w:r>
      <w:r>
        <w:rPr>
          <w:sz w:val="28"/>
          <w:szCs w:val="28"/>
        </w:rPr>
        <w:t>ревизионной комиссией</w:t>
      </w:r>
      <w:r w:rsidRPr="00AA63B3">
        <w:rPr>
          <w:sz w:val="28"/>
          <w:szCs w:val="28"/>
        </w:rPr>
        <w:t>.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1.4. Задачами Стандарта являются: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определение основных этапов проведения последующего контроля;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установление требований к содержанию комплекса экспертно</w:t>
      </w:r>
      <w:r w:rsidRPr="00AA63B3">
        <w:rPr>
          <w:sz w:val="28"/>
          <w:szCs w:val="28"/>
        </w:rPr>
        <w:softHyphen/>
        <w:t>аналитических и контрольных мероприятий, осуществляемых в рамках последующего контроля;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определение структуры, содержания и основных требований при подготовке и оформлении результатов последующего контроля.</w:t>
      </w:r>
    </w:p>
    <w:p w:rsidR="00E042C4" w:rsidRPr="00AA63B3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1.5. При организации и проведении последующего контроля, должностные лица Контрольно-счетной палаты руководствуются</w:t>
      </w:r>
      <w:r>
        <w:rPr>
          <w:sz w:val="28"/>
          <w:szCs w:val="28"/>
        </w:rPr>
        <w:t xml:space="preserve"> </w:t>
      </w:r>
      <w:r w:rsidRPr="00AA63B3">
        <w:rPr>
          <w:sz w:val="28"/>
          <w:szCs w:val="28"/>
        </w:rPr>
        <w:t>Конституцией Российской Федерации,</w:t>
      </w:r>
      <w:r>
        <w:rPr>
          <w:sz w:val="28"/>
          <w:szCs w:val="28"/>
        </w:rPr>
        <w:t xml:space="preserve"> </w:t>
      </w:r>
      <w:r w:rsidRPr="00AA63B3">
        <w:rPr>
          <w:sz w:val="28"/>
          <w:szCs w:val="28"/>
        </w:rPr>
        <w:t>Бюджетным кодексом Российской Федерации,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07.02.2011 N</w:t>
      </w:r>
      <w:r w:rsidRPr="00AA63B3">
        <w:rPr>
          <w:sz w:val="28"/>
          <w:szCs w:val="28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образований»,Положением о Контрольно-счетной палате,</w:t>
      </w:r>
      <w:r>
        <w:rPr>
          <w:sz w:val="28"/>
          <w:szCs w:val="28"/>
        </w:rPr>
        <w:t xml:space="preserve"> </w:t>
      </w:r>
      <w:r w:rsidRPr="00AA63B3">
        <w:rPr>
          <w:sz w:val="28"/>
          <w:szCs w:val="28"/>
        </w:rPr>
        <w:t xml:space="preserve">бюджетным законодательством, другими законодательными и нормативными правовыми актами Российской Федерации, нормативными правовыми актами субъекта Российской Федерации, нормативными правовыми актами </w:t>
      </w:r>
      <w:r>
        <w:rPr>
          <w:sz w:val="28"/>
          <w:szCs w:val="28"/>
        </w:rPr>
        <w:t>Устьянского</w:t>
      </w:r>
      <w:r w:rsidRPr="00AA63B3">
        <w:rPr>
          <w:sz w:val="28"/>
          <w:szCs w:val="28"/>
        </w:rPr>
        <w:t xml:space="preserve"> муниципального района, иными нормативными документами и настоящим Стандартом.</w:t>
      </w:r>
    </w:p>
    <w:p w:rsidR="00E042C4" w:rsidRDefault="00E042C4" w:rsidP="00E042C4">
      <w:pPr>
        <w:jc w:val="both"/>
        <w:rPr>
          <w:sz w:val="28"/>
          <w:szCs w:val="28"/>
        </w:rPr>
      </w:pPr>
    </w:p>
    <w:p w:rsidR="00E042C4" w:rsidRPr="00AA63B3" w:rsidRDefault="00E042C4" w:rsidP="00E042C4">
      <w:pPr>
        <w:jc w:val="both"/>
        <w:rPr>
          <w:b/>
          <w:sz w:val="28"/>
          <w:szCs w:val="28"/>
        </w:rPr>
      </w:pPr>
      <w:r w:rsidRPr="00AA63B3">
        <w:rPr>
          <w:b/>
          <w:sz w:val="28"/>
          <w:szCs w:val="28"/>
        </w:rPr>
        <w:t>2. Содержание последующего контроля</w:t>
      </w:r>
    </w:p>
    <w:p w:rsidR="00E042C4" w:rsidRDefault="00E042C4" w:rsidP="00E042C4">
      <w:pPr>
        <w:jc w:val="both"/>
        <w:rPr>
          <w:sz w:val="28"/>
          <w:szCs w:val="28"/>
        </w:rPr>
      </w:pP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 xml:space="preserve">2.1. Последующий контроль за исполнением бюджета представляет собой комплекс экспертно-аналитических мероприятий по проверке исполнения Решений о бюджете на отчетный финансовый год и плановый период, внешнюю проверку годовой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(далее - ГАБС) и годового отчета </w:t>
      </w:r>
      <w:r w:rsidRPr="00AA63B3">
        <w:rPr>
          <w:sz w:val="28"/>
          <w:szCs w:val="28"/>
        </w:rPr>
        <w:lastRenderedPageBreak/>
        <w:t>об исполнении бюджета, подготовку заключения Контрольно-счетной палаты на годовой отчет об исполнении бюджета.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2.2. Последующий контроль является экспертно-аналитическим мероприятием и проводится на основании плана работы Контрольно-</w:t>
      </w:r>
      <w:r>
        <w:rPr>
          <w:sz w:val="28"/>
          <w:szCs w:val="28"/>
        </w:rPr>
        <w:t>ревизионной комиссии</w:t>
      </w:r>
      <w:r w:rsidRPr="00AA63B3">
        <w:rPr>
          <w:sz w:val="28"/>
          <w:szCs w:val="28"/>
        </w:rPr>
        <w:t xml:space="preserve"> на текущий год.</w:t>
      </w:r>
      <w:r>
        <w:rPr>
          <w:sz w:val="28"/>
          <w:szCs w:val="28"/>
        </w:rPr>
        <w:t xml:space="preserve"> </w:t>
      </w:r>
      <w:r w:rsidRPr="00AA63B3">
        <w:rPr>
          <w:sz w:val="28"/>
          <w:szCs w:val="28"/>
        </w:rPr>
        <w:t>Сроки проведения последующего контроля, в том числе дата начала, завершения мероприятия, определяются в порядке, установленном Контрольно</w:t>
      </w:r>
      <w:r w:rsidRPr="00AA63B3">
        <w:rPr>
          <w:sz w:val="28"/>
          <w:szCs w:val="28"/>
        </w:rPr>
        <w:softHyphen/>
      </w:r>
      <w:r>
        <w:rPr>
          <w:sz w:val="28"/>
          <w:szCs w:val="28"/>
        </w:rPr>
        <w:t>-ревизионной комиссией</w:t>
      </w:r>
      <w:r w:rsidRPr="00AA63B3">
        <w:rPr>
          <w:sz w:val="28"/>
          <w:szCs w:val="28"/>
        </w:rPr>
        <w:t xml:space="preserve">, с учетом временных ограничений, установленных бюджетным законодательством и нормативными правовыми актами, регулирующими вопросы организации и деятельности Контрольно- </w:t>
      </w:r>
      <w:r>
        <w:rPr>
          <w:sz w:val="28"/>
          <w:szCs w:val="28"/>
        </w:rPr>
        <w:t>ревизионной комиссии</w:t>
      </w:r>
      <w:r w:rsidRPr="00AA63B3">
        <w:rPr>
          <w:sz w:val="28"/>
          <w:szCs w:val="28"/>
        </w:rPr>
        <w:t>.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2.3. Последующий контроль проводится на основе информации и материалов, получаемых по запросам, и (или), при необходимости, непосредственно по месту расположения объектов мероприятия в соответствии с программой проведения данного мероприятия.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 xml:space="preserve">2.4. Целями последующего контроля за исполнением бюджета являются: 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 xml:space="preserve">подтверждение полноты и достоверности данных об исполнении бюджета; 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оценка соблюдения бюджетного законодательства при осуществлении</w:t>
      </w:r>
      <w:r>
        <w:rPr>
          <w:sz w:val="28"/>
          <w:szCs w:val="28"/>
        </w:rPr>
        <w:t xml:space="preserve"> </w:t>
      </w:r>
      <w:r w:rsidRPr="00AA63B3">
        <w:rPr>
          <w:sz w:val="28"/>
          <w:szCs w:val="28"/>
        </w:rPr>
        <w:t>бюджетного процесса;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оценка уровня исполнения показателей, утвержденных решением о бюд</w:t>
      </w:r>
      <w:r>
        <w:rPr>
          <w:sz w:val="28"/>
          <w:szCs w:val="28"/>
        </w:rPr>
        <w:t>жете на отчетный финансовый год;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оценка соблюдения законодательства при осуществлении бюджетного учета, составлении и представлении годовой бюджетной отчетности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.2.5. Задачами последующего контроля являются: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проведение анализа фактического исполнения в сравнении с показателями, утвержденными Решениями о бюджете на отчетный финансовый год, сводной бюджетной росписи расходов бюджета и источников финансирования дефицита бюджета на отчетный финансовый год, а также с показателями кассового плана исполнения бюджета (по доходам, расходам и источникам финансирования дефицита бюджета) в отчетном финансовом году, выявление и анализ отклонений от этих показателей;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определение объема и структуры муниципального долга, размера дефицита (профицита) бюджета, источников финансирования дефицита бюджета;</w:t>
      </w:r>
    </w:p>
    <w:p w:rsidR="00E042C4" w:rsidRPr="00AA63B3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проведение сравнительного анализа и сопоставления полученных данных годовой бюджетной отчетности Г АБС с показателями, утвержденными Решениями о местном бюджете на отчетный финансовый год, сводной бюджетной росписи муниципального образования и показателями, содержащимися в отчете об исполнении местного бюджета за отчетный финансовый год;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камеральная проверка достоверности, полноты и соответствия нормативным требованиям составления и представления отчета об исполнении бюджета;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установление соответствия исполнения местного бюджета Бюджетному кодексу РФ, положению о бюджетном процессе в муниципальном образовании и иным муниципальным правовым актам, касающегося бюджета и бюджетного процесса муниципального образования;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A63B3">
        <w:rPr>
          <w:sz w:val="28"/>
          <w:szCs w:val="28"/>
        </w:rPr>
        <w:t>проведение анализа выявленных отклонений и нарушений, внесение предложений по их устранению.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 xml:space="preserve">2.6. Предметом последующего контроля за исполнением бюджета является процесс исполнения Решения о бюджете на отчетный финансовый год и плановый период, а также деятельность объектов контроля по: 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 xml:space="preserve">использованию бюджетных средств; 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реализации текстовых статей Решения о бюджете; исполнению доходных и расходных статей Решения о бюджете;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63B3">
        <w:rPr>
          <w:sz w:val="28"/>
          <w:szCs w:val="28"/>
        </w:rPr>
        <w:t xml:space="preserve"> финансированию дефицита бюджета;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 xml:space="preserve">исполнению показателей прогноза поступлений доходов бюджета; 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исполнению сводной бюджетной росписи и лимитов бюджетных обязательств;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исполнению кассового плана;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 xml:space="preserve">доведению бюджетных ассигнований и лимитов бюджетных обязательств; </w:t>
      </w: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внесению изменений в сводную бюджетную роспись;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исполнению публичных нормативных обязательств;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составлению бюджетной и бухгалтерской отчетности участников бюджетного процесса;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ведению бухгалтерского (бюджетного) учета в соответствии с действующим законодательством;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реализации программы внутренних заимствований по привлечению, погашению и использованию кредитов;</w:t>
      </w:r>
    </w:p>
    <w:p w:rsidR="00E042C4" w:rsidRPr="00AA63B3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реализации программы муниципальных гарантий.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 xml:space="preserve">2.7. В процессе проведения последующего контроля осуществляется анализ: </w:t>
      </w: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исполнения бюджета по доходам, по расходам, по источникам</w:t>
      </w:r>
      <w:r>
        <w:rPr>
          <w:sz w:val="28"/>
          <w:szCs w:val="28"/>
        </w:rPr>
        <w:t xml:space="preserve"> </w:t>
      </w:r>
      <w:r w:rsidRPr="00AA63B3">
        <w:rPr>
          <w:sz w:val="28"/>
          <w:szCs w:val="28"/>
        </w:rPr>
        <w:t>финансирования дефицита бюджета, муниципального долга по итогам исполнения за год;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нормативно-правовой базы по вопросам управления, использования и распоряжения муниципальной собственностью с целью определения эффективности и целесообразности принимаемых в этом отношении вопросов; качества финансового менеджмента ГАБС;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A63B3">
        <w:rPr>
          <w:sz w:val="28"/>
          <w:szCs w:val="28"/>
        </w:rPr>
        <w:t xml:space="preserve"> составления и ведения сводной бюджетной росписи; составления и ведения кассового плана;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обоснованности изменений, вносимых в сводную бюджетную роспись;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анализ внесения изменений в бюджетную роспись на сумму остатков средств бюджета, числящихся на счетах бюджета на конец финансового года.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 xml:space="preserve">2.8. Объектами последующего контроля являются: 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финансовый орган муниципального образования;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орган уполномоченный осуществлять полномочия в сфере имущественных и земельных отношений;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главные администраторы доходов бюджета, осуществляющие контроль за полнотой и своевременностью поступлений налогов, сборов и других обязательных платежей в бюджет, а также за сокращением задолженности по их уплате;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главные распорядители, распорядители и получатели бюджетных средств, осуществляющие операции со средствами бюджета;</w:t>
      </w:r>
    </w:p>
    <w:p w:rsidR="00CC7786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 xml:space="preserve">главные администраторы источников финансирования дефицита бюджета; 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AA63B3">
        <w:rPr>
          <w:sz w:val="28"/>
          <w:szCs w:val="28"/>
        </w:rPr>
        <w:t>иные организации вне зависимости от видов и форм собственности, получающие, перечисляющие и использующие средства бюджета, или использующие муниципальную собственность, а также имеющие предоставленные законодательством льготы и преимущества.</w:t>
      </w:r>
    </w:p>
    <w:p w:rsidR="00E042C4" w:rsidRDefault="00E042C4" w:rsidP="00E042C4">
      <w:pPr>
        <w:jc w:val="both"/>
        <w:rPr>
          <w:sz w:val="28"/>
          <w:szCs w:val="28"/>
        </w:rPr>
      </w:pPr>
    </w:p>
    <w:p w:rsidR="00E042C4" w:rsidRPr="002964F9" w:rsidRDefault="00E042C4" w:rsidP="00E042C4">
      <w:pPr>
        <w:jc w:val="both"/>
        <w:rPr>
          <w:b/>
          <w:sz w:val="28"/>
          <w:szCs w:val="28"/>
        </w:rPr>
      </w:pPr>
      <w:r w:rsidRPr="00AA63B3">
        <w:rPr>
          <w:b/>
          <w:sz w:val="28"/>
          <w:szCs w:val="28"/>
        </w:rPr>
        <w:t>3. Нормативная правовая и информационная основы последующего контроля</w:t>
      </w:r>
    </w:p>
    <w:p w:rsidR="00E042C4" w:rsidRPr="00AA63B3" w:rsidRDefault="00E042C4" w:rsidP="00E042C4">
      <w:pPr>
        <w:jc w:val="both"/>
        <w:rPr>
          <w:sz w:val="28"/>
          <w:szCs w:val="28"/>
        </w:rPr>
      </w:pP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3.1. Нормативной правовой и информационной основой последующего контроля являются: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Бюджетный кодекс Российской Федерации;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Налоговый кодекс Российской Федерации;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Фе</w:t>
      </w:r>
      <w:r>
        <w:rPr>
          <w:sz w:val="28"/>
          <w:szCs w:val="28"/>
        </w:rPr>
        <w:t>деральный закон от 07.02.2011 N</w:t>
      </w:r>
      <w:r w:rsidRPr="00AA63B3">
        <w:rPr>
          <w:sz w:val="28"/>
          <w:szCs w:val="28"/>
        </w:rPr>
        <w:t>6-ФЗ «Об общих принципах организации и деятельности контрольно-счетных органов субъектов РФ и муниципальных образований»;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Решения о бюджете на текущий финансовый год и плановый период;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муниципальные нормативные правовые акты, принимаемые во исполнение Решения о бюджете на текущий финансовый год и плановый период;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КРК</w:t>
      </w:r>
      <w:r w:rsidRPr="00AA63B3">
        <w:rPr>
          <w:sz w:val="28"/>
          <w:szCs w:val="28"/>
        </w:rPr>
        <w:t>,</w:t>
      </w:r>
      <w:r w:rsidRPr="002964F9">
        <w:rPr>
          <w:sz w:val="28"/>
          <w:szCs w:val="28"/>
        </w:rPr>
        <w:t xml:space="preserve"> </w:t>
      </w:r>
      <w:r w:rsidRPr="00AA63B3">
        <w:rPr>
          <w:sz w:val="28"/>
          <w:szCs w:val="28"/>
        </w:rPr>
        <w:t xml:space="preserve">Регламент </w:t>
      </w:r>
      <w:r>
        <w:rPr>
          <w:sz w:val="28"/>
          <w:szCs w:val="28"/>
        </w:rPr>
        <w:t xml:space="preserve">КРК, </w:t>
      </w:r>
      <w:r w:rsidRPr="00AA63B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A63B3">
        <w:rPr>
          <w:sz w:val="28"/>
          <w:szCs w:val="28"/>
        </w:rPr>
        <w:t>тандарты и план работы</w:t>
      </w:r>
      <w:r w:rsidR="00CC7786">
        <w:rPr>
          <w:sz w:val="28"/>
          <w:szCs w:val="28"/>
        </w:rPr>
        <w:t xml:space="preserve"> КРК</w:t>
      </w:r>
      <w:r w:rsidRPr="00AA63B3">
        <w:rPr>
          <w:sz w:val="28"/>
          <w:szCs w:val="28"/>
        </w:rPr>
        <w:t>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утвержденная сводная бюджетная роспись и изменения, вносимые в нее;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утвержденные лимиты бюджетных обязательств;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кассовый план;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бюджетная и статистическая отчетность;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данные, получаемые по запросам Контрольно-</w:t>
      </w:r>
      <w:r>
        <w:rPr>
          <w:sz w:val="28"/>
          <w:szCs w:val="28"/>
        </w:rPr>
        <w:t>ревизионной комиссии</w:t>
      </w:r>
      <w:r w:rsidRPr="00AA63B3">
        <w:rPr>
          <w:sz w:val="28"/>
          <w:szCs w:val="28"/>
        </w:rPr>
        <w:t>;</w:t>
      </w:r>
    </w:p>
    <w:p w:rsidR="00E042C4" w:rsidRDefault="00E042C4" w:rsidP="00E042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A63B3">
        <w:rPr>
          <w:sz w:val="28"/>
          <w:szCs w:val="28"/>
        </w:rPr>
        <w:t>результаты контрольных и экспертно-аналитических мероприятий, осуществляемых Контрольно-</w:t>
      </w:r>
      <w:r>
        <w:rPr>
          <w:sz w:val="28"/>
          <w:szCs w:val="28"/>
        </w:rPr>
        <w:t>ревизионной комиссией</w:t>
      </w:r>
      <w:r w:rsidRPr="00AA63B3">
        <w:rPr>
          <w:sz w:val="28"/>
          <w:szCs w:val="28"/>
        </w:rPr>
        <w:t>.</w:t>
      </w:r>
    </w:p>
    <w:p w:rsidR="00E042C4" w:rsidRDefault="00E042C4" w:rsidP="00E042C4">
      <w:pPr>
        <w:jc w:val="both"/>
        <w:rPr>
          <w:sz w:val="28"/>
          <w:szCs w:val="28"/>
        </w:rPr>
      </w:pPr>
    </w:p>
    <w:p w:rsidR="00E042C4" w:rsidRPr="002964F9" w:rsidRDefault="00E042C4" w:rsidP="00E042C4">
      <w:pPr>
        <w:jc w:val="both"/>
        <w:rPr>
          <w:b/>
          <w:sz w:val="28"/>
          <w:szCs w:val="28"/>
        </w:rPr>
      </w:pPr>
      <w:r w:rsidRPr="00AA63B3">
        <w:rPr>
          <w:b/>
          <w:sz w:val="28"/>
          <w:szCs w:val="28"/>
        </w:rPr>
        <w:t>4. Основные этапы последующего контроля</w:t>
      </w:r>
    </w:p>
    <w:p w:rsidR="00E042C4" w:rsidRDefault="00E042C4" w:rsidP="00E042C4">
      <w:pPr>
        <w:jc w:val="both"/>
        <w:rPr>
          <w:sz w:val="28"/>
          <w:szCs w:val="28"/>
        </w:rPr>
      </w:pP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4.1. Последующий контроль осуществляется в соответствии с Регламентом Контрольно-</w:t>
      </w:r>
      <w:r>
        <w:rPr>
          <w:sz w:val="28"/>
          <w:szCs w:val="28"/>
        </w:rPr>
        <w:t>ревизионной комиссии</w:t>
      </w:r>
      <w:r w:rsidRPr="00AA63B3">
        <w:rPr>
          <w:sz w:val="28"/>
          <w:szCs w:val="28"/>
        </w:rPr>
        <w:t>.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4.2. Последующий контроль за ходом исполнения бюджета проводится в три этапа: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4.2.1.первый этап - подготовительный, включающий подготовку необходимых форм и документов;</w:t>
      </w:r>
    </w:p>
    <w:p w:rsidR="00E042C4" w:rsidRPr="00AA63B3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4.2.2.второй этап - непосредственное проведение последующего контроля;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4.2.3.третий этап - завершающий, включающий подготовку и оформление результатов последующего контроля.</w:t>
      </w:r>
    </w:p>
    <w:p w:rsidR="00E042C4" w:rsidRDefault="00E042C4" w:rsidP="00E042C4">
      <w:pPr>
        <w:jc w:val="both"/>
        <w:rPr>
          <w:sz w:val="28"/>
          <w:szCs w:val="28"/>
        </w:rPr>
      </w:pPr>
    </w:p>
    <w:p w:rsidR="00E042C4" w:rsidRDefault="00E042C4" w:rsidP="00E042C4">
      <w:pPr>
        <w:jc w:val="both"/>
        <w:rPr>
          <w:b/>
          <w:sz w:val="28"/>
          <w:szCs w:val="28"/>
        </w:rPr>
      </w:pPr>
      <w:r w:rsidRPr="00AA63B3">
        <w:rPr>
          <w:b/>
          <w:sz w:val="28"/>
          <w:szCs w:val="28"/>
        </w:rPr>
        <w:t>5. Подготовка к проведению последующего контроля</w:t>
      </w:r>
    </w:p>
    <w:p w:rsidR="00E042C4" w:rsidRPr="002964F9" w:rsidRDefault="00E042C4" w:rsidP="00E042C4">
      <w:pPr>
        <w:jc w:val="both"/>
        <w:rPr>
          <w:b/>
          <w:sz w:val="28"/>
          <w:szCs w:val="28"/>
        </w:rPr>
      </w:pP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5.1. Должностное лицо Контрольно-</w:t>
      </w:r>
      <w:r>
        <w:rPr>
          <w:sz w:val="28"/>
          <w:szCs w:val="28"/>
        </w:rPr>
        <w:t>ревизионной комиссии</w:t>
      </w:r>
      <w:r w:rsidRPr="00AA63B3">
        <w:rPr>
          <w:sz w:val="28"/>
          <w:szCs w:val="28"/>
        </w:rPr>
        <w:t xml:space="preserve"> при подготовке к проведению последующего контроля осуществляет: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5.1.1.сбор и обработку информации об изменениях показателей бюджета за истекший период отчетного финансового года,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lastRenderedPageBreak/>
        <w:t>5.1.2.разрабатывает проекты табличных форм для доходов, расходов, иных показателей Решения о бюджете,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5.1.3.обеспечивает представление на рассмотрение и утверждение Председателя Контрольно-</w:t>
      </w:r>
      <w:r>
        <w:rPr>
          <w:sz w:val="28"/>
          <w:szCs w:val="28"/>
        </w:rPr>
        <w:t>ревизионной комиссии</w:t>
      </w:r>
      <w:r w:rsidRPr="00AA63B3">
        <w:rPr>
          <w:sz w:val="28"/>
          <w:szCs w:val="28"/>
        </w:rPr>
        <w:t xml:space="preserve"> проектов табличных форм оперативного последующего контроля.</w:t>
      </w:r>
    </w:p>
    <w:p w:rsidR="00E042C4" w:rsidRDefault="00E042C4" w:rsidP="00E042C4">
      <w:pPr>
        <w:jc w:val="both"/>
        <w:rPr>
          <w:sz w:val="28"/>
          <w:szCs w:val="28"/>
        </w:rPr>
      </w:pPr>
    </w:p>
    <w:p w:rsidR="00E042C4" w:rsidRPr="002964F9" w:rsidRDefault="00E042C4" w:rsidP="00E042C4">
      <w:pPr>
        <w:jc w:val="both"/>
        <w:rPr>
          <w:b/>
          <w:sz w:val="28"/>
          <w:szCs w:val="28"/>
        </w:rPr>
      </w:pPr>
      <w:r w:rsidRPr="00AA63B3">
        <w:rPr>
          <w:b/>
          <w:sz w:val="28"/>
          <w:szCs w:val="28"/>
        </w:rPr>
        <w:t>6. Непосредственное проведение последующего контроля</w:t>
      </w:r>
    </w:p>
    <w:p w:rsidR="00E042C4" w:rsidRDefault="00E042C4" w:rsidP="00E042C4">
      <w:pPr>
        <w:jc w:val="both"/>
        <w:rPr>
          <w:sz w:val="28"/>
          <w:szCs w:val="28"/>
        </w:rPr>
      </w:pP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6.1. В соответствии с планом работы Контрольно-</w:t>
      </w:r>
      <w:r w:rsidR="0033633F">
        <w:rPr>
          <w:sz w:val="28"/>
          <w:szCs w:val="28"/>
        </w:rPr>
        <w:t>ревизионной комиссии</w:t>
      </w:r>
      <w:r w:rsidRPr="00AA63B3">
        <w:rPr>
          <w:sz w:val="28"/>
          <w:szCs w:val="28"/>
        </w:rPr>
        <w:t>: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6.1.1. осуществляется проверка и анализ Отчета об исполнении бюджета за отчетный финансовый год.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6.1.2. проведение анализа проекта решения об исполнении бюджета на предмет идентичности показателей, отраженных в проекте решения, показателям, отраженным в Отчете об исполнении бюджета.</w:t>
      </w:r>
    </w:p>
    <w:p w:rsidR="00E042C4" w:rsidRDefault="00E042C4" w:rsidP="00E042C4">
      <w:pPr>
        <w:jc w:val="both"/>
        <w:rPr>
          <w:sz w:val="28"/>
          <w:szCs w:val="28"/>
        </w:rPr>
      </w:pPr>
    </w:p>
    <w:p w:rsidR="00E042C4" w:rsidRPr="002964F9" w:rsidRDefault="00E042C4" w:rsidP="00E042C4">
      <w:pPr>
        <w:jc w:val="both"/>
        <w:rPr>
          <w:b/>
          <w:sz w:val="28"/>
          <w:szCs w:val="28"/>
        </w:rPr>
      </w:pPr>
      <w:r w:rsidRPr="00AA63B3">
        <w:rPr>
          <w:b/>
          <w:sz w:val="28"/>
          <w:szCs w:val="28"/>
        </w:rPr>
        <w:t>7. Проведение проверки Отчета об исполнении бюджета за отчетный</w:t>
      </w:r>
      <w:r>
        <w:rPr>
          <w:b/>
          <w:sz w:val="28"/>
          <w:szCs w:val="28"/>
        </w:rPr>
        <w:t xml:space="preserve"> </w:t>
      </w:r>
      <w:r w:rsidRPr="00AA63B3">
        <w:rPr>
          <w:b/>
          <w:sz w:val="28"/>
          <w:szCs w:val="28"/>
        </w:rPr>
        <w:t>финансовый год</w:t>
      </w:r>
    </w:p>
    <w:p w:rsidR="00E042C4" w:rsidRDefault="00E042C4" w:rsidP="00E042C4">
      <w:pPr>
        <w:jc w:val="both"/>
        <w:rPr>
          <w:sz w:val="28"/>
          <w:szCs w:val="28"/>
        </w:rPr>
      </w:pPr>
    </w:p>
    <w:p w:rsidR="00E042C4" w:rsidRPr="00AA63B3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7.1. Проверка Отчета об исполнении бюджета включает в себя проверку: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7.1.1.полноты (соответствия) по составу, форме и содержанию требованиям, установленными нормативными правовыми актами Министерства финансов Российской Федерации;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7.1.2.соблюдения порядка отражения операций;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7.1.3.согласованности показателей различных форм бюджетной отчетности и внутри каждой формы (соблюдение контрольных соотношений взаимосвязанных показателей форм бюджетной отчетности);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7.1.4.соответствия показателей Отчета об исполнении бюджета данным бюджетной отчетности Г АБС;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7.1.5.соблюдения требований бюджетного законодательства РФ.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7.2.Проводится анализ показателей: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7.2.1.по доходам, расходам бюджета, источникам дефицита бюджета (сравниваются фактически достигнутые показатели с показателями, утвержденными Решениями о бюджете на отчетный финансовый год);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7.2.2.форм бюджетной отчетности, представляемых одновременно с Отчетом об исполнении бюджета: баланса исполнения бюджета, отчета о финансовых результатах деятельности, отчета о движении денежных средств, пояснительной записки и иной отчетности, предусмотренной Бюджетным кодексом Российской Федерации;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7.2.3.отчетов о предоставлении и погашении бюджетных кредитов, состоянии муниципального внешнего и внутреннего долга на начало и конец отчетного финансового года.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7.3. В рамках проверки годовая бюджетная отчетность ГАБС проверяется на предмет:</w:t>
      </w:r>
    </w:p>
    <w:p w:rsidR="00E042C4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lastRenderedPageBreak/>
        <w:t>7.3.1.полноты - соответствия по составу, форме и содержанию требованиям, установленными нормативными правовыми актами Министерства финансов Российской Федерации;</w:t>
      </w:r>
    </w:p>
    <w:p w:rsidR="00E042C4" w:rsidRPr="00AA63B3" w:rsidRDefault="00E042C4" w:rsidP="00E042C4">
      <w:pPr>
        <w:jc w:val="both"/>
        <w:rPr>
          <w:sz w:val="28"/>
          <w:szCs w:val="28"/>
        </w:rPr>
      </w:pPr>
      <w:r w:rsidRPr="00AA63B3">
        <w:rPr>
          <w:sz w:val="28"/>
          <w:szCs w:val="28"/>
        </w:rPr>
        <w:t>7.3.2.соблюдения порядка отражения операций;</w:t>
      </w:r>
    </w:p>
    <w:p w:rsidR="00E042C4" w:rsidRPr="00AA63B3" w:rsidRDefault="00E042C4" w:rsidP="00E042C4">
      <w:pPr>
        <w:jc w:val="both"/>
        <w:rPr>
          <w:sz w:val="28"/>
          <w:szCs w:val="28"/>
        </w:rPr>
      </w:pPr>
    </w:p>
    <w:p w:rsidR="00E042C4" w:rsidRPr="00AA63B3" w:rsidRDefault="00E042C4" w:rsidP="00E042C4">
      <w:pPr>
        <w:pStyle w:val="1"/>
        <w:jc w:val="center"/>
        <w:rPr>
          <w:szCs w:val="28"/>
        </w:rPr>
      </w:pPr>
    </w:p>
    <w:p w:rsidR="00B05B54" w:rsidRDefault="00B05B54" w:rsidP="00292EB2">
      <w:pPr>
        <w:ind w:firstLine="709"/>
        <w:jc w:val="both"/>
        <w:rPr>
          <w:sz w:val="28"/>
          <w:szCs w:val="28"/>
        </w:rPr>
      </w:pPr>
    </w:p>
    <w:sectPr w:rsidR="00B05B54" w:rsidSect="00E3318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567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C74" w:rsidRDefault="00053C74" w:rsidP="00876CD3">
      <w:r>
        <w:separator/>
      </w:r>
    </w:p>
  </w:endnote>
  <w:endnote w:type="continuationSeparator" w:id="1">
    <w:p w:rsidR="00053C74" w:rsidRDefault="00053C74" w:rsidP="00876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D3" w:rsidRDefault="00AC2E2F" w:rsidP="00452DA6">
    <w:pPr>
      <w:pStyle w:val="ab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16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316D3" w:rsidRDefault="000316D3" w:rsidP="00452DA6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D3" w:rsidRDefault="000316D3">
    <w:pPr>
      <w:pStyle w:val="ab"/>
      <w:jc w:val="right"/>
    </w:pPr>
  </w:p>
  <w:p w:rsidR="000316D3" w:rsidRDefault="000316D3" w:rsidP="00452DA6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C74" w:rsidRDefault="00053C74" w:rsidP="00876CD3">
      <w:r>
        <w:separator/>
      </w:r>
    </w:p>
  </w:footnote>
  <w:footnote w:type="continuationSeparator" w:id="1">
    <w:p w:rsidR="00053C74" w:rsidRDefault="00053C74" w:rsidP="00876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D3" w:rsidRDefault="00AC2E2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16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16D3">
      <w:rPr>
        <w:rStyle w:val="a5"/>
        <w:noProof/>
      </w:rPr>
      <w:t>16</w:t>
    </w:r>
    <w:r>
      <w:rPr>
        <w:rStyle w:val="a5"/>
      </w:rPr>
      <w:fldChar w:fldCharType="end"/>
    </w:r>
  </w:p>
  <w:p w:rsidR="000316D3" w:rsidRDefault="000316D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6D3" w:rsidRDefault="00AC2E2F">
    <w:pPr>
      <w:pStyle w:val="a3"/>
      <w:jc w:val="center"/>
    </w:pPr>
    <w:r>
      <w:fldChar w:fldCharType="begin"/>
    </w:r>
    <w:r w:rsidR="00A83201">
      <w:instrText xml:space="preserve"> PAGE   \* MERGEFORMAT </w:instrText>
    </w:r>
    <w:r>
      <w:fldChar w:fldCharType="separate"/>
    </w:r>
    <w:r w:rsidR="0033633F">
      <w:rPr>
        <w:noProof/>
      </w:rPr>
      <w:t>7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2EB2"/>
    <w:rsid w:val="000316D3"/>
    <w:rsid w:val="00046DE3"/>
    <w:rsid w:val="00053C74"/>
    <w:rsid w:val="00057F94"/>
    <w:rsid w:val="00065A12"/>
    <w:rsid w:val="00085952"/>
    <w:rsid w:val="000A1D6F"/>
    <w:rsid w:val="000B71F6"/>
    <w:rsid w:val="000C2B7C"/>
    <w:rsid w:val="000E5337"/>
    <w:rsid w:val="000E5386"/>
    <w:rsid w:val="000F4BAF"/>
    <w:rsid w:val="00145C69"/>
    <w:rsid w:val="00145D8E"/>
    <w:rsid w:val="001512E8"/>
    <w:rsid w:val="001837B3"/>
    <w:rsid w:val="001949BF"/>
    <w:rsid w:val="00196BEE"/>
    <w:rsid w:val="001B620D"/>
    <w:rsid w:val="001B62AA"/>
    <w:rsid w:val="001D4721"/>
    <w:rsid w:val="001D7157"/>
    <w:rsid w:val="001E14BC"/>
    <w:rsid w:val="00203605"/>
    <w:rsid w:val="00204A9F"/>
    <w:rsid w:val="002144C2"/>
    <w:rsid w:val="00222907"/>
    <w:rsid w:val="00237574"/>
    <w:rsid w:val="00260444"/>
    <w:rsid w:val="00292EB2"/>
    <w:rsid w:val="002A7EAA"/>
    <w:rsid w:val="002D083A"/>
    <w:rsid w:val="002D2D7D"/>
    <w:rsid w:val="002D4928"/>
    <w:rsid w:val="002F7BA7"/>
    <w:rsid w:val="00312E67"/>
    <w:rsid w:val="00314ABF"/>
    <w:rsid w:val="00321554"/>
    <w:rsid w:val="00321801"/>
    <w:rsid w:val="0033633F"/>
    <w:rsid w:val="00346A34"/>
    <w:rsid w:val="00354CF7"/>
    <w:rsid w:val="00360405"/>
    <w:rsid w:val="00377BBF"/>
    <w:rsid w:val="003B2BA6"/>
    <w:rsid w:val="003C44CF"/>
    <w:rsid w:val="003D6CFA"/>
    <w:rsid w:val="003E0EEF"/>
    <w:rsid w:val="003F648B"/>
    <w:rsid w:val="00425CF8"/>
    <w:rsid w:val="0042722A"/>
    <w:rsid w:val="00431304"/>
    <w:rsid w:val="00452DA6"/>
    <w:rsid w:val="0045392B"/>
    <w:rsid w:val="00453D11"/>
    <w:rsid w:val="00514511"/>
    <w:rsid w:val="00523FFA"/>
    <w:rsid w:val="00531DEC"/>
    <w:rsid w:val="00531F7D"/>
    <w:rsid w:val="005D7B67"/>
    <w:rsid w:val="00605EA0"/>
    <w:rsid w:val="006137C8"/>
    <w:rsid w:val="00654FDD"/>
    <w:rsid w:val="00670E09"/>
    <w:rsid w:val="006C774C"/>
    <w:rsid w:val="006D540E"/>
    <w:rsid w:val="006D5D27"/>
    <w:rsid w:val="006F44A7"/>
    <w:rsid w:val="006F7D65"/>
    <w:rsid w:val="00703F0E"/>
    <w:rsid w:val="0071597A"/>
    <w:rsid w:val="007256D6"/>
    <w:rsid w:val="007379F5"/>
    <w:rsid w:val="00755295"/>
    <w:rsid w:val="00761206"/>
    <w:rsid w:val="0077279C"/>
    <w:rsid w:val="0079106B"/>
    <w:rsid w:val="007C0DF6"/>
    <w:rsid w:val="007D201D"/>
    <w:rsid w:val="007E3F87"/>
    <w:rsid w:val="007E44DB"/>
    <w:rsid w:val="007F092F"/>
    <w:rsid w:val="00800E2B"/>
    <w:rsid w:val="008153C3"/>
    <w:rsid w:val="008228BE"/>
    <w:rsid w:val="00855D26"/>
    <w:rsid w:val="0086320A"/>
    <w:rsid w:val="00865CAD"/>
    <w:rsid w:val="00876CD3"/>
    <w:rsid w:val="00892D13"/>
    <w:rsid w:val="008A093B"/>
    <w:rsid w:val="008A1704"/>
    <w:rsid w:val="008F09BF"/>
    <w:rsid w:val="009045F0"/>
    <w:rsid w:val="00921575"/>
    <w:rsid w:val="0093059A"/>
    <w:rsid w:val="00942C58"/>
    <w:rsid w:val="009533CA"/>
    <w:rsid w:val="009677F3"/>
    <w:rsid w:val="0097176E"/>
    <w:rsid w:val="00990C4E"/>
    <w:rsid w:val="009A596E"/>
    <w:rsid w:val="009C309B"/>
    <w:rsid w:val="00A10DEE"/>
    <w:rsid w:val="00A256C9"/>
    <w:rsid w:val="00A3133E"/>
    <w:rsid w:val="00A553FC"/>
    <w:rsid w:val="00A63F06"/>
    <w:rsid w:val="00A83201"/>
    <w:rsid w:val="00A90295"/>
    <w:rsid w:val="00A94B6D"/>
    <w:rsid w:val="00AB3B46"/>
    <w:rsid w:val="00AB6F29"/>
    <w:rsid w:val="00AC2E2F"/>
    <w:rsid w:val="00AC50EC"/>
    <w:rsid w:val="00B05B54"/>
    <w:rsid w:val="00B166E2"/>
    <w:rsid w:val="00B26300"/>
    <w:rsid w:val="00B455AD"/>
    <w:rsid w:val="00B6670A"/>
    <w:rsid w:val="00B80E3E"/>
    <w:rsid w:val="00B82990"/>
    <w:rsid w:val="00BA454A"/>
    <w:rsid w:val="00BB4153"/>
    <w:rsid w:val="00BB6B13"/>
    <w:rsid w:val="00BC0BE1"/>
    <w:rsid w:val="00BE4C54"/>
    <w:rsid w:val="00BF3CF1"/>
    <w:rsid w:val="00C0335C"/>
    <w:rsid w:val="00C1074C"/>
    <w:rsid w:val="00C160BA"/>
    <w:rsid w:val="00C17D19"/>
    <w:rsid w:val="00C26868"/>
    <w:rsid w:val="00C872C9"/>
    <w:rsid w:val="00CA41C6"/>
    <w:rsid w:val="00CB0271"/>
    <w:rsid w:val="00CC1586"/>
    <w:rsid w:val="00CC2A9D"/>
    <w:rsid w:val="00CC7786"/>
    <w:rsid w:val="00CF2829"/>
    <w:rsid w:val="00D14296"/>
    <w:rsid w:val="00D378B1"/>
    <w:rsid w:val="00D71981"/>
    <w:rsid w:val="00D739D5"/>
    <w:rsid w:val="00D86C61"/>
    <w:rsid w:val="00DB10F5"/>
    <w:rsid w:val="00DC0E42"/>
    <w:rsid w:val="00DD78DF"/>
    <w:rsid w:val="00E042C4"/>
    <w:rsid w:val="00E07EEC"/>
    <w:rsid w:val="00E21F89"/>
    <w:rsid w:val="00E238D9"/>
    <w:rsid w:val="00E33188"/>
    <w:rsid w:val="00E36158"/>
    <w:rsid w:val="00E41433"/>
    <w:rsid w:val="00E4205E"/>
    <w:rsid w:val="00E8123E"/>
    <w:rsid w:val="00E969A4"/>
    <w:rsid w:val="00ED2394"/>
    <w:rsid w:val="00EE11C6"/>
    <w:rsid w:val="00EF555F"/>
    <w:rsid w:val="00EF787B"/>
    <w:rsid w:val="00F1556B"/>
    <w:rsid w:val="00F25956"/>
    <w:rsid w:val="00F2749C"/>
    <w:rsid w:val="00F80A22"/>
    <w:rsid w:val="00FA6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92EB2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292EB2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292EB2"/>
    <w:pPr>
      <w:keepNext/>
      <w:ind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2EB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link w:val="2"/>
    <w:rsid w:val="00292EB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link w:val="6"/>
    <w:rsid w:val="00292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92E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92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2EB2"/>
  </w:style>
  <w:style w:type="paragraph" w:styleId="a6">
    <w:name w:val="Body Text Indent"/>
    <w:basedOn w:val="a"/>
    <w:link w:val="a7"/>
    <w:rsid w:val="00292EB2"/>
    <w:pPr>
      <w:ind w:firstLine="485"/>
      <w:jc w:val="both"/>
    </w:pPr>
    <w:rPr>
      <w:snapToGrid w:val="0"/>
      <w:color w:val="000000"/>
      <w:sz w:val="28"/>
    </w:rPr>
  </w:style>
  <w:style w:type="character" w:customStyle="1" w:styleId="a7">
    <w:name w:val="Основной текст с отступом Знак"/>
    <w:link w:val="a6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292EB2"/>
    <w:pPr>
      <w:ind w:firstLine="720"/>
      <w:jc w:val="both"/>
    </w:pPr>
    <w:rPr>
      <w:snapToGrid w:val="0"/>
      <w:sz w:val="28"/>
    </w:rPr>
  </w:style>
  <w:style w:type="character" w:customStyle="1" w:styleId="22">
    <w:name w:val="Основной текст с отступом 2 Знак"/>
    <w:link w:val="21"/>
    <w:rsid w:val="00292E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292EB2"/>
    <w:pPr>
      <w:ind w:firstLine="794"/>
      <w:jc w:val="both"/>
    </w:pPr>
    <w:rPr>
      <w:snapToGrid w:val="0"/>
      <w:color w:val="000000"/>
      <w:sz w:val="28"/>
    </w:rPr>
  </w:style>
  <w:style w:type="character" w:customStyle="1" w:styleId="30">
    <w:name w:val="Основной текст с отступом 3 Знак"/>
    <w:link w:val="3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292EB2"/>
    <w:pPr>
      <w:jc w:val="both"/>
    </w:pPr>
    <w:rPr>
      <w:snapToGrid w:val="0"/>
      <w:color w:val="000000"/>
      <w:sz w:val="28"/>
    </w:rPr>
  </w:style>
  <w:style w:type="character" w:customStyle="1" w:styleId="a9">
    <w:name w:val="Основной текст Знак"/>
    <w:link w:val="a8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a">
    <w:name w:val="Документ"/>
    <w:basedOn w:val="a"/>
    <w:rsid w:val="00292EB2"/>
    <w:pPr>
      <w:spacing w:line="360" w:lineRule="auto"/>
      <w:ind w:firstLine="709"/>
      <w:jc w:val="both"/>
    </w:pPr>
    <w:rPr>
      <w:sz w:val="28"/>
    </w:rPr>
  </w:style>
  <w:style w:type="paragraph" w:styleId="ab">
    <w:name w:val="footer"/>
    <w:basedOn w:val="a"/>
    <w:link w:val="ac"/>
    <w:uiPriority w:val="99"/>
    <w:rsid w:val="00292EB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rsid w:val="00292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292EB2"/>
  </w:style>
  <w:style w:type="character" w:styleId="ad">
    <w:name w:val="Hyperlink"/>
    <w:uiPriority w:val="99"/>
    <w:unhideWhenUsed/>
    <w:rsid w:val="00292EB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F3C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F3CF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semiHidden/>
    <w:unhideWhenUsed/>
    <w:rsid w:val="00346A3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46A34"/>
  </w:style>
  <w:style w:type="character" w:customStyle="1" w:styleId="af2">
    <w:name w:val="Текст примечания Знак"/>
    <w:link w:val="af1"/>
    <w:uiPriority w:val="99"/>
    <w:semiHidden/>
    <w:rsid w:val="00346A3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46A3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46A34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B2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292EB2"/>
    <w:pPr>
      <w:keepNext/>
      <w:jc w:val="right"/>
      <w:outlineLvl w:val="0"/>
    </w:pPr>
    <w:rPr>
      <w:b/>
      <w:snapToGrid w:val="0"/>
      <w:color w:val="000000"/>
      <w:sz w:val="28"/>
    </w:rPr>
  </w:style>
  <w:style w:type="paragraph" w:styleId="2">
    <w:name w:val="heading 2"/>
    <w:basedOn w:val="a"/>
    <w:next w:val="a"/>
    <w:link w:val="20"/>
    <w:qFormat/>
    <w:rsid w:val="00292EB2"/>
    <w:pPr>
      <w:keepNext/>
      <w:jc w:val="center"/>
      <w:outlineLvl w:val="1"/>
    </w:pPr>
    <w:rPr>
      <w:b/>
      <w:snapToGrid w:val="0"/>
      <w:color w:val="000000"/>
      <w:sz w:val="28"/>
    </w:rPr>
  </w:style>
  <w:style w:type="paragraph" w:styleId="6">
    <w:name w:val="heading 6"/>
    <w:basedOn w:val="a"/>
    <w:next w:val="a"/>
    <w:link w:val="60"/>
    <w:qFormat/>
    <w:rsid w:val="00292EB2"/>
    <w:pPr>
      <w:keepNext/>
      <w:ind w:firstLine="72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92EB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20">
    <w:name w:val="Заголовок 2 Знак"/>
    <w:link w:val="2"/>
    <w:rsid w:val="00292EB2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character" w:customStyle="1" w:styleId="60">
    <w:name w:val="Заголовок 6 Знак"/>
    <w:link w:val="6"/>
    <w:rsid w:val="00292E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292E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292E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92EB2"/>
  </w:style>
  <w:style w:type="paragraph" w:styleId="a6">
    <w:name w:val="Body Text Indent"/>
    <w:basedOn w:val="a"/>
    <w:link w:val="a7"/>
    <w:rsid w:val="00292EB2"/>
    <w:pPr>
      <w:ind w:firstLine="485"/>
      <w:jc w:val="both"/>
    </w:pPr>
    <w:rPr>
      <w:snapToGrid w:val="0"/>
      <w:color w:val="000000"/>
      <w:sz w:val="28"/>
    </w:rPr>
  </w:style>
  <w:style w:type="character" w:customStyle="1" w:styleId="a7">
    <w:name w:val="Основной текст с отступом Знак"/>
    <w:link w:val="a6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21">
    <w:name w:val="Body Text Indent 2"/>
    <w:basedOn w:val="a"/>
    <w:link w:val="22"/>
    <w:rsid w:val="00292EB2"/>
    <w:pPr>
      <w:ind w:firstLine="720"/>
      <w:jc w:val="both"/>
    </w:pPr>
    <w:rPr>
      <w:snapToGrid w:val="0"/>
      <w:sz w:val="28"/>
    </w:rPr>
  </w:style>
  <w:style w:type="character" w:customStyle="1" w:styleId="22">
    <w:name w:val="Основной текст с отступом 2 Знак"/>
    <w:link w:val="21"/>
    <w:rsid w:val="00292EB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">
    <w:name w:val="Body Text Indent 3"/>
    <w:basedOn w:val="a"/>
    <w:link w:val="30"/>
    <w:rsid w:val="00292EB2"/>
    <w:pPr>
      <w:ind w:firstLine="794"/>
      <w:jc w:val="both"/>
    </w:pPr>
    <w:rPr>
      <w:snapToGrid w:val="0"/>
      <w:color w:val="000000"/>
      <w:sz w:val="28"/>
    </w:rPr>
  </w:style>
  <w:style w:type="character" w:customStyle="1" w:styleId="30">
    <w:name w:val="Основной текст с отступом 3 Знак"/>
    <w:link w:val="3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8">
    <w:name w:val="Body Text"/>
    <w:basedOn w:val="a"/>
    <w:link w:val="a9"/>
    <w:rsid w:val="00292EB2"/>
    <w:pPr>
      <w:jc w:val="both"/>
    </w:pPr>
    <w:rPr>
      <w:snapToGrid w:val="0"/>
      <w:color w:val="000000"/>
      <w:sz w:val="28"/>
    </w:rPr>
  </w:style>
  <w:style w:type="character" w:customStyle="1" w:styleId="a9">
    <w:name w:val="Основной текст Знак"/>
    <w:link w:val="a8"/>
    <w:rsid w:val="00292EB2"/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customStyle="1" w:styleId="aa">
    <w:name w:val="Документ"/>
    <w:basedOn w:val="a"/>
    <w:rsid w:val="00292EB2"/>
    <w:pPr>
      <w:spacing w:line="360" w:lineRule="auto"/>
      <w:ind w:firstLine="709"/>
      <w:jc w:val="both"/>
    </w:pPr>
    <w:rPr>
      <w:sz w:val="28"/>
    </w:rPr>
  </w:style>
  <w:style w:type="paragraph" w:styleId="ab">
    <w:name w:val="footer"/>
    <w:basedOn w:val="a"/>
    <w:link w:val="ac"/>
    <w:uiPriority w:val="99"/>
    <w:rsid w:val="00292EB2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rsid w:val="00292E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"/>
    <w:next w:val="a"/>
    <w:autoRedefine/>
    <w:uiPriority w:val="39"/>
    <w:rsid w:val="00292EB2"/>
  </w:style>
  <w:style w:type="character" w:styleId="ad">
    <w:name w:val="Hyperlink"/>
    <w:uiPriority w:val="99"/>
    <w:unhideWhenUsed/>
    <w:rsid w:val="00292EB2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F3C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BF3CF1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annotation reference"/>
    <w:uiPriority w:val="99"/>
    <w:semiHidden/>
    <w:unhideWhenUsed/>
    <w:rsid w:val="00346A3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46A34"/>
  </w:style>
  <w:style w:type="character" w:customStyle="1" w:styleId="af2">
    <w:name w:val="Текст примечания Знак"/>
    <w:link w:val="af1"/>
    <w:uiPriority w:val="99"/>
    <w:semiHidden/>
    <w:rsid w:val="00346A34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46A34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346A34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1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6102A-962B-44D2-965F-AABB34247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1990</Words>
  <Characters>11345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schpl</Company>
  <LinksUpToDate>false</LinksUpToDate>
  <CharactersWithSpaces>13309</CharactersWithSpaces>
  <SharedDoc>false</SharedDoc>
  <HLinks>
    <vt:vector size="42" baseType="variant">
      <vt:variant>
        <vt:i4>1376316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_Toc419711054</vt:lpwstr>
      </vt:variant>
      <vt:variant>
        <vt:i4>1376316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_Toc419711053</vt:lpwstr>
      </vt:variant>
      <vt:variant>
        <vt:i4>1376316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_Toc419711052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_Toc419711051</vt:lpwstr>
      </vt:variant>
      <vt:variant>
        <vt:i4>1376316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_Toc419711050</vt:lpwstr>
      </vt:variant>
      <vt:variant>
        <vt:i4>1310780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_Toc419711049</vt:lpwstr>
      </vt:variant>
      <vt:variant>
        <vt:i4>1310780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_Toc419711048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</dc:creator>
  <cp:lastModifiedBy>PALATA</cp:lastModifiedBy>
  <cp:revision>3</cp:revision>
  <cp:lastPrinted>2019-05-31T04:57:00Z</cp:lastPrinted>
  <dcterms:created xsi:type="dcterms:W3CDTF">2019-05-30T12:59:00Z</dcterms:created>
  <dcterms:modified xsi:type="dcterms:W3CDTF">2019-05-31T04:57:00Z</dcterms:modified>
</cp:coreProperties>
</file>