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041782">
        <w:rPr>
          <w:b/>
          <w:sz w:val="28"/>
          <w:szCs w:val="28"/>
        </w:rPr>
        <w:t>150106:684</w:t>
      </w:r>
    </w:p>
    <w:p w:rsidR="005C4FEB" w:rsidRPr="005C4FEB" w:rsidRDefault="005C4FEB" w:rsidP="00717B28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041782">
        <w:rPr>
          <w:sz w:val="22"/>
          <w:szCs w:val="22"/>
        </w:rPr>
        <w:t>24</w:t>
      </w:r>
      <w:r w:rsidR="00F23D69">
        <w:rPr>
          <w:sz w:val="22"/>
          <w:szCs w:val="22"/>
        </w:rPr>
        <w:t xml:space="preserve"> августа</w:t>
      </w:r>
      <w:r w:rsidR="007C5E56">
        <w:rPr>
          <w:sz w:val="22"/>
          <w:szCs w:val="22"/>
        </w:rPr>
        <w:t xml:space="preserve">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041782">
        <w:rPr>
          <w:sz w:val="22"/>
          <w:szCs w:val="22"/>
        </w:rPr>
        <w:t>1607</w:t>
      </w:r>
      <w:r w:rsidRPr="00B52647">
        <w:rPr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F23D69">
        <w:rPr>
          <w:sz w:val="22"/>
          <w:szCs w:val="22"/>
        </w:rPr>
        <w:t>26.0</w:t>
      </w:r>
      <w:r w:rsidR="00FA1728">
        <w:rPr>
          <w:sz w:val="22"/>
          <w:szCs w:val="22"/>
        </w:rPr>
        <w:t>8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FA1728">
        <w:rPr>
          <w:sz w:val="22"/>
          <w:szCs w:val="22"/>
        </w:rPr>
        <w:t>26.09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FA1728">
        <w:rPr>
          <w:color w:val="0A0808"/>
          <w:sz w:val="22"/>
          <w:szCs w:val="22"/>
          <w:u w:val="single"/>
        </w:rPr>
        <w:t xml:space="preserve"> - 26.09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EC2547">
        <w:rPr>
          <w:color w:val="0A0808"/>
          <w:sz w:val="22"/>
          <w:szCs w:val="22"/>
          <w:u w:val="single"/>
        </w:rPr>
        <w:t>27.09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EC2547">
        <w:rPr>
          <w:color w:val="0A0808"/>
          <w:sz w:val="22"/>
          <w:szCs w:val="22"/>
          <w:u w:val="single"/>
        </w:rPr>
        <w:t xml:space="preserve"> 27.09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C2547">
        <w:rPr>
          <w:sz w:val="22"/>
          <w:szCs w:val="22"/>
        </w:rPr>
        <w:t>28.09</w:t>
      </w:r>
      <w:r w:rsidR="005F6862">
        <w:rPr>
          <w:sz w:val="22"/>
          <w:szCs w:val="22"/>
        </w:rPr>
        <w:t>.2022 в 09:</w:t>
      </w:r>
      <w:r w:rsidR="00041782">
        <w:rPr>
          <w:sz w:val="22"/>
          <w:szCs w:val="22"/>
        </w:rPr>
        <w:t>15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EC2547">
        <w:rPr>
          <w:color w:val="0A0808"/>
          <w:sz w:val="22"/>
          <w:szCs w:val="22"/>
          <w:u w:val="single"/>
        </w:rPr>
        <w:t>28.09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B92063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</w:t>
      </w:r>
      <w:r w:rsidRPr="005C4FEB">
        <w:rPr>
          <w:b/>
          <w:bCs/>
          <w:color w:val="0A0808"/>
          <w:sz w:val="22"/>
          <w:szCs w:val="22"/>
        </w:rPr>
        <w:t>т аукциона:</w:t>
      </w:r>
      <w:r w:rsidRPr="005C4FEB">
        <w:rPr>
          <w:color w:val="0A0808"/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C4FEB">
        <w:rPr>
          <w:color w:val="0A0808"/>
          <w:sz w:val="22"/>
          <w:szCs w:val="22"/>
        </w:rPr>
        <w:t xml:space="preserve"> </w:t>
      </w:r>
      <w:r w:rsidR="00041782">
        <w:rPr>
          <w:color w:val="0A0808"/>
          <w:sz w:val="22"/>
          <w:szCs w:val="22"/>
        </w:rPr>
        <w:t>2</w:t>
      </w:r>
      <w:r w:rsidR="00377D9F">
        <w:rPr>
          <w:color w:val="0A0808"/>
          <w:sz w:val="22"/>
          <w:szCs w:val="22"/>
        </w:rPr>
        <w:t xml:space="preserve"> </w:t>
      </w:r>
      <w:r w:rsidR="00041782">
        <w:rPr>
          <w:color w:val="0A0808"/>
          <w:sz w:val="22"/>
          <w:szCs w:val="22"/>
        </w:rPr>
        <w:t>года 6 месяцев</w:t>
      </w:r>
    </w:p>
    <w:p w:rsidR="00C815E7" w:rsidRPr="005C4FEB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C4FEB">
        <w:rPr>
          <w:b/>
          <w:color w:val="0A0808"/>
          <w:sz w:val="22"/>
          <w:szCs w:val="22"/>
        </w:rPr>
        <w:t>1.Земельный участок:</w:t>
      </w:r>
    </w:p>
    <w:p w:rsidR="00C815E7" w:rsidRPr="00041782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 xml:space="preserve">Местоположение </w:t>
      </w:r>
      <w:r w:rsidRPr="006A5CD7">
        <w:rPr>
          <w:color w:val="0A0808"/>
          <w:sz w:val="22"/>
          <w:szCs w:val="22"/>
          <w:u w:val="single"/>
        </w:rPr>
        <w:t>земельного участка</w:t>
      </w:r>
      <w:r w:rsidRPr="006A5CD7">
        <w:rPr>
          <w:color w:val="0A0808"/>
          <w:sz w:val="22"/>
          <w:szCs w:val="22"/>
        </w:rPr>
        <w:t xml:space="preserve">: </w:t>
      </w:r>
      <w:r w:rsidR="00041782" w:rsidRPr="00041782">
        <w:rPr>
          <w:sz w:val="22"/>
          <w:szCs w:val="22"/>
        </w:rPr>
        <w:t>примерно в 15 метрах по направлению на юг от ориентира жилой дом, расположенного за пределами земельного участка, адрес ориентира: Архангельская обл., Устьянский м. р-н, МО «Киземское», п</w:t>
      </w:r>
      <w:proofErr w:type="gramStart"/>
      <w:r w:rsidR="00041782" w:rsidRPr="00041782">
        <w:rPr>
          <w:sz w:val="22"/>
          <w:szCs w:val="22"/>
        </w:rPr>
        <w:t>.К</w:t>
      </w:r>
      <w:proofErr w:type="gramEnd"/>
      <w:r w:rsidR="00041782" w:rsidRPr="00041782">
        <w:rPr>
          <w:sz w:val="22"/>
          <w:szCs w:val="22"/>
        </w:rPr>
        <w:t>изема, ул.Молодежная, д.1</w:t>
      </w:r>
    </w:p>
    <w:p w:rsidR="00C815E7" w:rsidRPr="006A5CD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6A5CD7">
        <w:rPr>
          <w:color w:val="0A0808"/>
          <w:sz w:val="22"/>
          <w:szCs w:val="22"/>
          <w:u w:val="single"/>
        </w:rPr>
        <w:t>Площадь земельного участка</w:t>
      </w:r>
      <w:r w:rsidRPr="006A5CD7">
        <w:rPr>
          <w:color w:val="0A0808"/>
          <w:sz w:val="22"/>
          <w:szCs w:val="22"/>
        </w:rPr>
        <w:t xml:space="preserve">: </w:t>
      </w:r>
      <w:r w:rsidR="00B85D30">
        <w:rPr>
          <w:sz w:val="22"/>
          <w:szCs w:val="22"/>
        </w:rPr>
        <w:t>3</w:t>
      </w:r>
      <w:r w:rsidR="00041782">
        <w:rPr>
          <w:sz w:val="22"/>
          <w:szCs w:val="22"/>
        </w:rPr>
        <w:t>33</w:t>
      </w:r>
      <w:r w:rsidR="00717B28" w:rsidRPr="006A5CD7">
        <w:rPr>
          <w:sz w:val="22"/>
          <w:szCs w:val="22"/>
        </w:rPr>
        <w:t xml:space="preserve"> </w:t>
      </w:r>
      <w:r w:rsidR="00102018" w:rsidRPr="006A5CD7">
        <w:rPr>
          <w:sz w:val="22"/>
          <w:szCs w:val="22"/>
        </w:rPr>
        <w:t>кв.м.,</w:t>
      </w:r>
    </w:p>
    <w:p w:rsidR="00717B28" w:rsidRPr="005C4FEB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Кадастровый номер</w:t>
      </w:r>
      <w:r w:rsidR="00717B28" w:rsidRPr="005C4FEB">
        <w:rPr>
          <w:color w:val="0A0808"/>
          <w:sz w:val="22"/>
          <w:szCs w:val="22"/>
        </w:rPr>
        <w:t xml:space="preserve">: </w:t>
      </w:r>
      <w:r w:rsidR="00717B28" w:rsidRPr="005C4FEB">
        <w:rPr>
          <w:sz w:val="22"/>
          <w:szCs w:val="22"/>
        </w:rPr>
        <w:t>29:18:</w:t>
      </w:r>
      <w:r w:rsidR="00041782">
        <w:rPr>
          <w:sz w:val="22"/>
          <w:szCs w:val="22"/>
        </w:rPr>
        <w:t>150106:684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Категория земель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sz w:val="22"/>
          <w:szCs w:val="22"/>
        </w:rPr>
        <w:t xml:space="preserve">земли </w:t>
      </w:r>
      <w:r w:rsidR="00AB090C" w:rsidRPr="005C4FEB">
        <w:rPr>
          <w:sz w:val="22"/>
          <w:szCs w:val="22"/>
        </w:rPr>
        <w:t>населенных пунктов</w:t>
      </w:r>
    </w:p>
    <w:p w:rsidR="00C815E7" w:rsidRPr="00B85D3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B85D30">
        <w:rPr>
          <w:color w:val="0A0808"/>
          <w:sz w:val="22"/>
          <w:szCs w:val="22"/>
        </w:rPr>
        <w:t xml:space="preserve">: </w:t>
      </w:r>
      <w:r w:rsidR="00041782">
        <w:rPr>
          <w:sz w:val="22"/>
          <w:szCs w:val="22"/>
        </w:rPr>
        <w:t>объекты гаражного назначения</w:t>
      </w:r>
    </w:p>
    <w:p w:rsidR="00B85D30" w:rsidRPr="00B85D30" w:rsidRDefault="00C815E7" w:rsidP="00041782">
      <w:pPr>
        <w:pStyle w:val="a3"/>
        <w:ind w:left="0"/>
        <w:rPr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Обременения (ограничения):</w:t>
      </w:r>
      <w:r w:rsidRPr="00B85D30">
        <w:rPr>
          <w:color w:val="0A0808"/>
          <w:sz w:val="22"/>
          <w:szCs w:val="22"/>
        </w:rPr>
        <w:t xml:space="preserve"> </w:t>
      </w:r>
      <w:r w:rsidR="00041782">
        <w:rPr>
          <w:sz w:val="22"/>
          <w:szCs w:val="22"/>
        </w:rPr>
        <w:t>нет</w:t>
      </w:r>
      <w:r w:rsidR="00B85D30" w:rsidRPr="00B85D30">
        <w:rPr>
          <w:sz w:val="22"/>
          <w:szCs w:val="22"/>
        </w:rPr>
        <w:t>.</w:t>
      </w:r>
    </w:p>
    <w:p w:rsidR="00C815E7" w:rsidRPr="00B85D3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Форма собственности</w:t>
      </w:r>
      <w:r w:rsidRPr="00B85D30">
        <w:rPr>
          <w:color w:val="0A0808"/>
          <w:sz w:val="22"/>
          <w:szCs w:val="22"/>
        </w:rPr>
        <w:t xml:space="preserve">: </w:t>
      </w:r>
      <w:r w:rsidR="00102018" w:rsidRPr="00B85D30">
        <w:rPr>
          <w:color w:val="0A0808"/>
          <w:sz w:val="22"/>
          <w:szCs w:val="22"/>
        </w:rPr>
        <w:t>не разграничена</w:t>
      </w:r>
    </w:p>
    <w:p w:rsidR="00875E42" w:rsidRPr="00B85D30" w:rsidRDefault="00875E42" w:rsidP="00875E42">
      <w:pPr>
        <w:shd w:val="clear" w:color="auto" w:fill="FFFFFF"/>
        <w:jc w:val="both"/>
        <w:rPr>
          <w:color w:val="0A0808"/>
          <w:sz w:val="22"/>
          <w:szCs w:val="22"/>
        </w:rPr>
      </w:pPr>
      <w:r w:rsidRPr="00B85D3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B85D30">
        <w:rPr>
          <w:color w:val="0A0808"/>
          <w:sz w:val="22"/>
          <w:szCs w:val="22"/>
        </w:rPr>
        <w:t xml:space="preserve"> </w:t>
      </w:r>
      <w:r w:rsidR="00041782" w:rsidRPr="001773A8">
        <w:rPr>
          <w:color w:val="0A0808"/>
          <w:sz w:val="22"/>
          <w:szCs w:val="22"/>
        </w:rPr>
        <w:t>размещение отдельно стоящих и пристроенных гаражей, в том числе подземных, предназначенных для хранения личного автотранспорта</w:t>
      </w:r>
      <w:r w:rsidR="00041782">
        <w:rPr>
          <w:color w:val="0A0808"/>
          <w:sz w:val="22"/>
          <w:szCs w:val="22"/>
        </w:rPr>
        <w:t>.</w:t>
      </w:r>
    </w:p>
    <w:p w:rsidR="00875E42" w:rsidRPr="00B85D30" w:rsidRDefault="00875E42" w:rsidP="00875E42">
      <w:pPr>
        <w:jc w:val="both"/>
      </w:pPr>
      <w:r w:rsidRPr="00B85D30">
        <w:rPr>
          <w:sz w:val="22"/>
          <w:szCs w:val="22"/>
        </w:rPr>
        <w:t>Объе</w:t>
      </w:r>
      <w:proofErr w:type="gramStart"/>
      <w:r w:rsidRPr="00B85D30">
        <w:rPr>
          <w:sz w:val="22"/>
          <w:szCs w:val="22"/>
        </w:rPr>
        <w:t>кт стр</w:t>
      </w:r>
      <w:proofErr w:type="gramEnd"/>
      <w:r w:rsidRPr="00B85D30">
        <w:rPr>
          <w:sz w:val="22"/>
          <w:szCs w:val="22"/>
        </w:rPr>
        <w:t>оительства на земельном участке не имеет возможности для подключения к сетям</w:t>
      </w:r>
      <w:r w:rsidRPr="00B85D30">
        <w:t xml:space="preserve"> инженерно-технического обеспечения.</w:t>
      </w:r>
    </w:p>
    <w:p w:rsidR="00041782" w:rsidRDefault="00041782" w:rsidP="0004178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1м.</w:t>
      </w:r>
    </w:p>
    <w:p w:rsidR="00041782" w:rsidRDefault="00041782" w:rsidP="0004178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сооружений – 1 этаж, предельная высота зданий, строений, сооружений – не подлежит установлению</w:t>
      </w:r>
    </w:p>
    <w:p w:rsidR="00041782" w:rsidRPr="001773A8" w:rsidRDefault="00041782" w:rsidP="00041782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5F3D71" w:rsidRPr="00B92063" w:rsidRDefault="005F3D71" w:rsidP="00C815E7">
      <w:pPr>
        <w:shd w:val="clear" w:color="auto" w:fill="FFFFFF"/>
        <w:jc w:val="both"/>
        <w:rPr>
          <w:sz w:val="16"/>
          <w:szCs w:val="16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896E66">
        <w:rPr>
          <w:color w:val="0A0808"/>
          <w:sz w:val="22"/>
          <w:szCs w:val="22"/>
        </w:rPr>
        <w:t>1 310</w:t>
      </w:r>
      <w:r w:rsidR="00875E42">
        <w:rPr>
          <w:color w:val="0A0808"/>
          <w:sz w:val="22"/>
          <w:szCs w:val="22"/>
        </w:rPr>
        <w:t xml:space="preserve"> </w:t>
      </w:r>
      <w:r w:rsidR="00102018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AB090C">
        <w:t xml:space="preserve"> -</w:t>
      </w:r>
      <w:r w:rsidR="00875E42">
        <w:t xml:space="preserve"> </w:t>
      </w:r>
      <w:r w:rsidR="00896E66">
        <w:t>39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875E42">
        <w:t>–</w:t>
      </w:r>
      <w:r w:rsidR="009653C7">
        <w:t xml:space="preserve"> </w:t>
      </w:r>
      <w:r w:rsidR="00896E66">
        <w:rPr>
          <w:color w:val="0A0808"/>
          <w:sz w:val="22"/>
          <w:szCs w:val="22"/>
        </w:rPr>
        <w:t>131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B92063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B92063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</w:t>
      </w:r>
      <w:r w:rsidRPr="001773A8">
        <w:rPr>
          <w:sz w:val="22"/>
          <w:szCs w:val="22"/>
        </w:rPr>
        <w:lastRenderedPageBreak/>
        <w:t xml:space="preserve">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3238EF">
        <w:rPr>
          <w:b/>
          <w:sz w:val="22"/>
          <w:szCs w:val="22"/>
        </w:rPr>
        <w:t>26.08</w:t>
      </w:r>
      <w:r w:rsidR="001773A8" w:rsidRPr="001773A8">
        <w:rPr>
          <w:b/>
          <w:sz w:val="22"/>
          <w:szCs w:val="22"/>
        </w:rPr>
        <w:t>.2022</w:t>
      </w:r>
      <w:r w:rsidR="003238EF">
        <w:rPr>
          <w:b/>
          <w:sz w:val="22"/>
          <w:szCs w:val="22"/>
        </w:rPr>
        <w:t xml:space="preserve"> по 26.09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B92063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B92063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3238EF">
        <w:rPr>
          <w:rFonts w:eastAsia="Calibri"/>
          <w:sz w:val="22"/>
          <w:szCs w:val="22"/>
        </w:rPr>
        <w:t>26.08</w:t>
      </w:r>
      <w:r w:rsidR="001773A8" w:rsidRPr="001773A8">
        <w:rPr>
          <w:rFonts w:eastAsia="Calibri"/>
          <w:sz w:val="22"/>
          <w:szCs w:val="22"/>
        </w:rPr>
        <w:t>.</w:t>
      </w:r>
      <w:r w:rsidR="003238EF">
        <w:rPr>
          <w:rFonts w:eastAsia="Calibri"/>
          <w:sz w:val="22"/>
          <w:szCs w:val="22"/>
        </w:rPr>
        <w:t>2022 по 26.09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5C4FEB" w:rsidRDefault="005C4FEB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92063">
      <w:footerReference w:type="default" r:id="rId15"/>
      <w:pgSz w:w="11906" w:h="16838" w:code="9"/>
      <w:pgMar w:top="426" w:right="424" w:bottom="426" w:left="1134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E7" w:rsidRDefault="00151FE7" w:rsidP="00F12FDF">
      <w:r>
        <w:separator/>
      </w:r>
    </w:p>
  </w:endnote>
  <w:endnote w:type="continuationSeparator" w:id="0">
    <w:p w:rsidR="00151FE7" w:rsidRDefault="00151FE7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F2627B">
    <w:pPr>
      <w:pStyle w:val="ae"/>
      <w:jc w:val="right"/>
    </w:pPr>
    <w:fldSimple w:instr=" PAGE   \* MERGEFORMAT ">
      <w:r w:rsidR="00377D9F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E7" w:rsidRDefault="00151FE7" w:rsidP="00F12FDF">
      <w:r>
        <w:separator/>
      </w:r>
    </w:p>
  </w:footnote>
  <w:footnote w:type="continuationSeparator" w:id="0">
    <w:p w:rsidR="00151FE7" w:rsidRDefault="00151FE7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1782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44E"/>
    <w:rsid w:val="000C751A"/>
    <w:rsid w:val="000D5DC0"/>
    <w:rsid w:val="000E1181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1FE7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2539"/>
    <w:rsid w:val="002030A2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38EF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77D9F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4361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2687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579F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677"/>
    <w:rsid w:val="00591C0C"/>
    <w:rsid w:val="005970BC"/>
    <w:rsid w:val="00597E82"/>
    <w:rsid w:val="005A1626"/>
    <w:rsid w:val="005A5F7D"/>
    <w:rsid w:val="005B106D"/>
    <w:rsid w:val="005B6120"/>
    <w:rsid w:val="005B650C"/>
    <w:rsid w:val="005C4E5A"/>
    <w:rsid w:val="005C4FEB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6862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A5CD7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6F659F"/>
    <w:rsid w:val="007001EA"/>
    <w:rsid w:val="00710205"/>
    <w:rsid w:val="00710EC7"/>
    <w:rsid w:val="00716080"/>
    <w:rsid w:val="00717B28"/>
    <w:rsid w:val="00725593"/>
    <w:rsid w:val="007260A8"/>
    <w:rsid w:val="00726447"/>
    <w:rsid w:val="007266BA"/>
    <w:rsid w:val="00726FC5"/>
    <w:rsid w:val="0073773E"/>
    <w:rsid w:val="00742669"/>
    <w:rsid w:val="00742C89"/>
    <w:rsid w:val="00750C37"/>
    <w:rsid w:val="007531E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75E42"/>
    <w:rsid w:val="008858DA"/>
    <w:rsid w:val="00887983"/>
    <w:rsid w:val="00893EA8"/>
    <w:rsid w:val="00894103"/>
    <w:rsid w:val="008956EC"/>
    <w:rsid w:val="0089688E"/>
    <w:rsid w:val="00896BAE"/>
    <w:rsid w:val="00896E66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47F2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090C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52647"/>
    <w:rsid w:val="00B650C9"/>
    <w:rsid w:val="00B67458"/>
    <w:rsid w:val="00B72D2F"/>
    <w:rsid w:val="00B74BA3"/>
    <w:rsid w:val="00B75C24"/>
    <w:rsid w:val="00B80108"/>
    <w:rsid w:val="00B828D6"/>
    <w:rsid w:val="00B82AF5"/>
    <w:rsid w:val="00B85D30"/>
    <w:rsid w:val="00B877EC"/>
    <w:rsid w:val="00B91D6D"/>
    <w:rsid w:val="00B92063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3018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3F64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5E3F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2547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3D69"/>
    <w:rsid w:val="00F25603"/>
    <w:rsid w:val="00F2627B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1728"/>
    <w:rsid w:val="00FA3632"/>
    <w:rsid w:val="00FA3E21"/>
    <w:rsid w:val="00FA46C8"/>
    <w:rsid w:val="00FB2073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F3202-D28F-483B-82E0-FD23F924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2022-08-24T13:12:00Z</cp:lastPrinted>
  <dcterms:created xsi:type="dcterms:W3CDTF">2022-08-24T13:15:00Z</dcterms:created>
  <dcterms:modified xsi:type="dcterms:W3CDTF">2022-08-24T13:16:00Z</dcterms:modified>
</cp:coreProperties>
</file>