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07" w:rsidRDefault="00BE4107" w:rsidP="00BE4107">
      <w:pPr>
        <w:jc w:val="center"/>
        <w:rPr>
          <w:b/>
        </w:rPr>
      </w:pPr>
      <w:r>
        <w:rPr>
          <w:b/>
        </w:rPr>
        <w:t>ПРОТОКОЛ</w:t>
      </w:r>
    </w:p>
    <w:p w:rsidR="00BE4107" w:rsidRDefault="00BE4107" w:rsidP="00BE4107">
      <w:pPr>
        <w:jc w:val="center"/>
        <w:rPr>
          <w:b/>
        </w:rPr>
      </w:pPr>
      <w:r>
        <w:rPr>
          <w:b/>
        </w:rPr>
        <w:t xml:space="preserve">ПУБЛИЧНЫХ СЛУШАНИЙ ПО БЮДЖЕТУ </w:t>
      </w:r>
    </w:p>
    <w:p w:rsidR="00BE4107" w:rsidRDefault="00BE4107" w:rsidP="00BE4107">
      <w:pPr>
        <w:jc w:val="center"/>
        <w:rPr>
          <w:b/>
          <w:bCs/>
          <w:color w:val="000000"/>
          <w:sz w:val="28"/>
        </w:rPr>
      </w:pPr>
      <w:r>
        <w:rPr>
          <w:b/>
        </w:rPr>
        <w:t>НА 2023 ГОД И ПЛАНОВЫЙ ПЕРИОД</w:t>
      </w:r>
      <w:r w:rsidRPr="00BE4107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2024 и 2025 годов</w:t>
      </w:r>
    </w:p>
    <w:p w:rsidR="00BE4107" w:rsidRDefault="00BE4107" w:rsidP="00BE4107">
      <w:pPr>
        <w:jc w:val="center"/>
        <w:rPr>
          <w:b/>
        </w:rPr>
      </w:pPr>
    </w:p>
    <w:p w:rsidR="00BE4107" w:rsidRDefault="00BE4107" w:rsidP="00BE4107">
      <w:pPr>
        <w:jc w:val="center"/>
        <w:rPr>
          <w:b/>
        </w:rPr>
      </w:pPr>
    </w:p>
    <w:p w:rsidR="00BE4107" w:rsidRDefault="00BE4107" w:rsidP="00BE4107">
      <w:pPr>
        <w:tabs>
          <w:tab w:val="left" w:pos="6915"/>
        </w:tabs>
        <w:rPr>
          <w:b/>
        </w:rPr>
      </w:pPr>
      <w:r>
        <w:rPr>
          <w:b/>
        </w:rPr>
        <w:t>п. Октябрьский</w:t>
      </w:r>
      <w:r>
        <w:rPr>
          <w:b/>
        </w:rPr>
        <w:tab/>
        <w:t>20 декабря 202</w:t>
      </w:r>
      <w:r w:rsidR="00B62834">
        <w:rPr>
          <w:b/>
        </w:rPr>
        <w:t xml:space="preserve">2 </w:t>
      </w:r>
      <w:r>
        <w:rPr>
          <w:b/>
        </w:rPr>
        <w:t>г.</w:t>
      </w:r>
    </w:p>
    <w:p w:rsidR="00BE4107" w:rsidRDefault="00BE4107" w:rsidP="00BE4107">
      <w:pPr>
        <w:tabs>
          <w:tab w:val="left" w:pos="6915"/>
        </w:tabs>
        <w:jc w:val="right"/>
        <w:rPr>
          <w:b/>
        </w:rPr>
      </w:pPr>
      <w:r>
        <w:rPr>
          <w:b/>
        </w:rPr>
        <w:t>15.00 малый зал администрации</w:t>
      </w:r>
    </w:p>
    <w:p w:rsidR="00BE4107" w:rsidRDefault="00BE4107" w:rsidP="00BE4107">
      <w:pPr>
        <w:tabs>
          <w:tab w:val="left" w:pos="6915"/>
        </w:tabs>
        <w:rPr>
          <w:b/>
          <w:sz w:val="20"/>
          <w:szCs w:val="20"/>
        </w:rPr>
      </w:pPr>
    </w:p>
    <w:p w:rsidR="00BE4107" w:rsidRPr="00956489" w:rsidRDefault="00BE4107" w:rsidP="00BE4107">
      <w:pPr>
        <w:tabs>
          <w:tab w:val="left" w:pos="6915"/>
        </w:tabs>
      </w:pPr>
      <w:r w:rsidRPr="00956489">
        <w:rPr>
          <w:sz w:val="20"/>
          <w:szCs w:val="20"/>
        </w:rPr>
        <w:t>ПРЕДСЕДАТЕЛЬСТВУЕТ</w:t>
      </w:r>
      <w:r w:rsidRPr="00956489">
        <w:t xml:space="preserve">:  </w:t>
      </w:r>
      <w:r>
        <w:t xml:space="preserve">Котлов С.А. -  глава </w:t>
      </w:r>
      <w:r w:rsidRPr="00956489">
        <w:t xml:space="preserve"> </w:t>
      </w:r>
      <w:proofErr w:type="spellStart"/>
      <w:r w:rsidRPr="00956489">
        <w:t>Устьянск</w:t>
      </w:r>
      <w:r>
        <w:t>ого</w:t>
      </w:r>
      <w:proofErr w:type="spellEnd"/>
      <w:r w:rsidRPr="00956489">
        <w:t xml:space="preserve"> муниципальн</w:t>
      </w:r>
      <w:r>
        <w:t>ого</w:t>
      </w:r>
      <w:r w:rsidRPr="00956489">
        <w:t xml:space="preserve"> район</w:t>
      </w:r>
      <w:r>
        <w:t>а</w:t>
      </w:r>
      <w:r w:rsidRPr="00956489">
        <w:t>;</w:t>
      </w:r>
    </w:p>
    <w:p w:rsidR="00BE4107" w:rsidRDefault="00BE4107" w:rsidP="00BE4107">
      <w:pPr>
        <w:tabs>
          <w:tab w:val="left" w:pos="6915"/>
        </w:tabs>
      </w:pPr>
      <w:r w:rsidRPr="00956489">
        <w:rPr>
          <w:sz w:val="20"/>
          <w:szCs w:val="20"/>
        </w:rPr>
        <w:t>СЕКРЕТАРЬ</w:t>
      </w:r>
      <w:r>
        <w:t xml:space="preserve">: </w:t>
      </w:r>
      <w:proofErr w:type="spellStart"/>
      <w:r>
        <w:t>Засухина</w:t>
      </w:r>
      <w:proofErr w:type="spellEnd"/>
      <w:r>
        <w:t xml:space="preserve"> Н.А. – заведующий</w:t>
      </w:r>
      <w:r w:rsidRPr="00956489">
        <w:t xml:space="preserve"> отделом по организационной работе и местному самоуправлению</w:t>
      </w:r>
    </w:p>
    <w:p w:rsidR="00BE4107" w:rsidRDefault="00BE4107" w:rsidP="00BE4107">
      <w:pPr>
        <w:tabs>
          <w:tab w:val="left" w:pos="6915"/>
        </w:tabs>
        <w:rPr>
          <w:b/>
        </w:rPr>
      </w:pPr>
    </w:p>
    <w:p w:rsidR="00BE4107" w:rsidRDefault="00BE4107" w:rsidP="00BE4107">
      <w:pPr>
        <w:tabs>
          <w:tab w:val="left" w:pos="6915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СЛУШАЛИ:</w:t>
      </w:r>
    </w:p>
    <w:p w:rsidR="00BE4107" w:rsidRPr="006F1C9F" w:rsidRDefault="00BE4107" w:rsidP="00BE4107">
      <w:pPr>
        <w:tabs>
          <w:tab w:val="left" w:pos="6915"/>
        </w:tabs>
        <w:jc w:val="both"/>
        <w:rPr>
          <w:sz w:val="28"/>
          <w:szCs w:val="28"/>
          <w:u w:val="single"/>
        </w:rPr>
      </w:pPr>
      <w:proofErr w:type="spellStart"/>
      <w:r w:rsidRPr="006F1C9F">
        <w:rPr>
          <w:sz w:val="28"/>
          <w:szCs w:val="28"/>
          <w:u w:val="single"/>
        </w:rPr>
        <w:t>С.В.Асамбаеву</w:t>
      </w:r>
      <w:proofErr w:type="spellEnd"/>
      <w:r w:rsidRPr="006F1C9F">
        <w:rPr>
          <w:sz w:val="28"/>
          <w:szCs w:val="28"/>
          <w:u w:val="single"/>
        </w:rPr>
        <w:t xml:space="preserve"> – начальника финансового управления администрации </w:t>
      </w:r>
      <w:proofErr w:type="spellStart"/>
      <w:r w:rsidRPr="006F1C9F">
        <w:rPr>
          <w:sz w:val="28"/>
          <w:szCs w:val="28"/>
          <w:u w:val="single"/>
        </w:rPr>
        <w:t>Устьянского</w:t>
      </w:r>
      <w:proofErr w:type="spellEnd"/>
      <w:r w:rsidRPr="006F1C9F">
        <w:rPr>
          <w:sz w:val="28"/>
          <w:szCs w:val="28"/>
          <w:u w:val="single"/>
        </w:rPr>
        <w:t xml:space="preserve"> муниципального района</w:t>
      </w:r>
    </w:p>
    <w:p w:rsidR="00D74ADA" w:rsidRDefault="00D74ADA"/>
    <w:p w:rsidR="00BE4107" w:rsidRPr="00BE4107" w:rsidRDefault="00BE4107" w:rsidP="006F1C9F">
      <w:pPr>
        <w:ind w:firstLine="708"/>
        <w:jc w:val="both"/>
        <w:rPr>
          <w:bCs/>
          <w:color w:val="000000"/>
          <w:sz w:val="28"/>
        </w:rPr>
      </w:pPr>
      <w:r w:rsidRPr="00BE4107">
        <w:rPr>
          <w:bCs/>
          <w:color w:val="000000"/>
          <w:sz w:val="28"/>
        </w:rPr>
        <w:t xml:space="preserve">В целях недопустимости проведения на территории Архангельской области публичных мероприятий, предполагающих непосредственное нахождение граждан в местах проведения таких мероприятий, из-за угрозы распространения </w:t>
      </w:r>
      <w:proofErr w:type="spellStart"/>
      <w:r w:rsidRPr="00BE4107">
        <w:rPr>
          <w:bCs/>
          <w:color w:val="000000"/>
          <w:sz w:val="28"/>
        </w:rPr>
        <w:t>коронавирусной</w:t>
      </w:r>
      <w:proofErr w:type="spellEnd"/>
      <w:r w:rsidRPr="00BE4107">
        <w:rPr>
          <w:bCs/>
          <w:color w:val="000000"/>
          <w:sz w:val="28"/>
        </w:rPr>
        <w:t xml:space="preserve"> инфекции (COVID-19),</w:t>
      </w:r>
      <w:r w:rsidR="006F1C9F">
        <w:rPr>
          <w:bCs/>
          <w:color w:val="000000"/>
          <w:sz w:val="28"/>
        </w:rPr>
        <w:t xml:space="preserve"> с</w:t>
      </w:r>
      <w:r w:rsidRPr="00BE4107">
        <w:rPr>
          <w:bCs/>
          <w:color w:val="000000"/>
          <w:sz w:val="28"/>
        </w:rPr>
        <w:t xml:space="preserve">огласно Постановлению Главы </w:t>
      </w:r>
      <w:proofErr w:type="spellStart"/>
      <w:r w:rsidRPr="00BE4107">
        <w:rPr>
          <w:bCs/>
          <w:color w:val="000000"/>
          <w:sz w:val="28"/>
        </w:rPr>
        <w:t>Устьянского</w:t>
      </w:r>
      <w:proofErr w:type="spellEnd"/>
      <w:r w:rsidRPr="00BE4107">
        <w:rPr>
          <w:bCs/>
          <w:color w:val="000000"/>
          <w:sz w:val="28"/>
        </w:rPr>
        <w:t xml:space="preserve"> муниципального района Архангельской </w:t>
      </w:r>
      <w:proofErr w:type="gramStart"/>
      <w:r w:rsidRPr="00BE4107">
        <w:rPr>
          <w:bCs/>
          <w:color w:val="000000"/>
          <w:sz w:val="28"/>
        </w:rPr>
        <w:t xml:space="preserve">области  от 12 декабря 2022 </w:t>
      </w:r>
      <w:r w:rsidRPr="00BE4107">
        <w:rPr>
          <w:bCs/>
          <w:sz w:val="28"/>
        </w:rPr>
        <w:t>года №2340</w:t>
      </w:r>
      <w:r w:rsidRPr="00BE4107">
        <w:rPr>
          <w:bCs/>
          <w:color w:val="000000"/>
          <w:sz w:val="28"/>
        </w:rPr>
        <w:t xml:space="preserve"> «О назначении публичных слушаний», с учетом требований установленных пунктом 4 Указа Губернатора Архангельской области от 17 марта 2020 года №28-у, публичные слушания по проекту  решения  «О бюджете </w:t>
      </w:r>
      <w:proofErr w:type="spellStart"/>
      <w:r w:rsidRPr="00BE4107">
        <w:rPr>
          <w:bCs/>
          <w:color w:val="000000"/>
          <w:sz w:val="28"/>
        </w:rPr>
        <w:t>Устьянского</w:t>
      </w:r>
      <w:proofErr w:type="spellEnd"/>
      <w:r w:rsidRPr="00BE4107">
        <w:rPr>
          <w:bCs/>
          <w:color w:val="000000"/>
          <w:sz w:val="28"/>
        </w:rPr>
        <w:t xml:space="preserve"> муниципального округа на 2023 год и на плановый период 2024 и 2025 годов», проводятся в дистанционной форме с использованием средств </w:t>
      </w:r>
      <w:proofErr w:type="spellStart"/>
      <w:r w:rsidRPr="00BE4107">
        <w:rPr>
          <w:bCs/>
          <w:color w:val="000000"/>
          <w:sz w:val="28"/>
        </w:rPr>
        <w:t>видео-конференц-связи</w:t>
      </w:r>
      <w:proofErr w:type="spellEnd"/>
      <w:r w:rsidRPr="00BE4107">
        <w:rPr>
          <w:bCs/>
          <w:color w:val="000000"/>
          <w:sz w:val="28"/>
        </w:rPr>
        <w:t>.</w:t>
      </w:r>
      <w:proofErr w:type="gramEnd"/>
    </w:p>
    <w:p w:rsidR="00BE4107" w:rsidRPr="00361EEE" w:rsidRDefault="00BE4107" w:rsidP="00BE4107">
      <w:pPr>
        <w:tabs>
          <w:tab w:val="left" w:pos="0"/>
        </w:tabs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  <w:r w:rsidRPr="00BE4107">
        <w:rPr>
          <w:bCs/>
          <w:color w:val="000000"/>
          <w:sz w:val="28"/>
        </w:rPr>
        <w:t>Проект бюджета</w:t>
      </w:r>
      <w:r>
        <w:rPr>
          <w:b/>
          <w:bCs/>
          <w:color w:val="000000"/>
          <w:sz w:val="28"/>
        </w:rPr>
        <w:t xml:space="preserve"> </w:t>
      </w:r>
      <w:proofErr w:type="spellStart"/>
      <w:r w:rsidRPr="00C70934">
        <w:rPr>
          <w:color w:val="000000"/>
          <w:sz w:val="28"/>
        </w:rPr>
        <w:t>Устьянского</w:t>
      </w:r>
      <w:proofErr w:type="spellEnd"/>
      <w:r w:rsidRPr="00C70934">
        <w:rPr>
          <w:color w:val="000000"/>
          <w:sz w:val="28"/>
        </w:rPr>
        <w:t xml:space="preserve"> муниципального округа </w:t>
      </w:r>
      <w:r w:rsidR="0030658D">
        <w:rPr>
          <w:color w:val="000000"/>
          <w:sz w:val="28"/>
        </w:rPr>
        <w:t xml:space="preserve">на </w:t>
      </w:r>
      <w:r w:rsidRPr="00C70934">
        <w:rPr>
          <w:color w:val="000000"/>
          <w:sz w:val="28"/>
        </w:rPr>
        <w:t>2023 год</w:t>
      </w:r>
      <w:r>
        <w:rPr>
          <w:color w:val="000000"/>
          <w:sz w:val="28"/>
        </w:rPr>
        <w:t xml:space="preserve"> размещен на официальном</w:t>
      </w:r>
      <w:r w:rsidR="0030658D">
        <w:rPr>
          <w:color w:val="000000"/>
          <w:sz w:val="28"/>
        </w:rPr>
        <w:t xml:space="preserve"> сайте администрации </w:t>
      </w:r>
      <w:r w:rsidR="006F1C9F">
        <w:rPr>
          <w:color w:val="000000"/>
          <w:sz w:val="28"/>
        </w:rPr>
        <w:t>13 декабря 202</w:t>
      </w:r>
      <w:r w:rsidR="0030658D">
        <w:rPr>
          <w:color w:val="000000"/>
          <w:sz w:val="28"/>
        </w:rPr>
        <w:t>2 года</w:t>
      </w:r>
      <w:r w:rsidR="006F1C9F">
        <w:rPr>
          <w:color w:val="000000"/>
          <w:sz w:val="28"/>
        </w:rPr>
        <w:t xml:space="preserve"> и опубликован в муниципальном вестнике «</w:t>
      </w:r>
      <w:proofErr w:type="spellStart"/>
      <w:r w:rsidR="006F1C9F">
        <w:rPr>
          <w:color w:val="000000"/>
          <w:sz w:val="28"/>
        </w:rPr>
        <w:t>Устьяны</w:t>
      </w:r>
      <w:proofErr w:type="spellEnd"/>
      <w:r w:rsidR="006F1C9F">
        <w:rPr>
          <w:color w:val="000000"/>
          <w:sz w:val="28"/>
        </w:rPr>
        <w:t>» от 14 декабря № 30</w:t>
      </w:r>
      <w:r w:rsidR="0030658D">
        <w:rPr>
          <w:color w:val="000000"/>
          <w:sz w:val="28"/>
        </w:rPr>
        <w:t>.</w:t>
      </w:r>
    </w:p>
    <w:p w:rsidR="00BE4107" w:rsidRPr="00C70934" w:rsidRDefault="00BE4107" w:rsidP="006F1C9F">
      <w:pPr>
        <w:ind w:firstLine="708"/>
        <w:jc w:val="both"/>
        <w:rPr>
          <w:color w:val="000000"/>
          <w:sz w:val="28"/>
        </w:rPr>
      </w:pPr>
      <w:r w:rsidRPr="00C70934">
        <w:rPr>
          <w:b/>
          <w:color w:val="000000"/>
          <w:sz w:val="28"/>
        </w:rPr>
        <w:t xml:space="preserve">Доходная часть </w:t>
      </w:r>
      <w:r w:rsidRPr="00C70934">
        <w:rPr>
          <w:color w:val="000000"/>
          <w:sz w:val="28"/>
        </w:rPr>
        <w:t xml:space="preserve">бюджета </w:t>
      </w:r>
      <w:proofErr w:type="spellStart"/>
      <w:r w:rsidRPr="00C70934">
        <w:rPr>
          <w:color w:val="000000"/>
          <w:sz w:val="28"/>
        </w:rPr>
        <w:t>Устьянского</w:t>
      </w:r>
      <w:proofErr w:type="spellEnd"/>
      <w:r w:rsidRPr="00C70934">
        <w:rPr>
          <w:color w:val="000000"/>
          <w:sz w:val="28"/>
        </w:rPr>
        <w:t xml:space="preserve"> муниципального округа 2023 год сформирована за счет </w:t>
      </w:r>
      <w:r w:rsidRPr="00C70934">
        <w:rPr>
          <w:b/>
          <w:color w:val="000000"/>
          <w:sz w:val="28"/>
        </w:rPr>
        <w:t>всех источников</w:t>
      </w:r>
      <w:r w:rsidRPr="00C70934">
        <w:rPr>
          <w:color w:val="000000"/>
          <w:sz w:val="28"/>
        </w:rPr>
        <w:t xml:space="preserve">  в сумме 1 837 328 076,99рублей, на 2024 и 2025 годы – соответственно  1 718 366 170,20 рублей и 1 755 982 643,31 рублей.</w:t>
      </w:r>
    </w:p>
    <w:p w:rsidR="00BE4107" w:rsidRDefault="00BE4107" w:rsidP="006F1C9F">
      <w:pPr>
        <w:ind w:firstLine="708"/>
        <w:jc w:val="both"/>
        <w:rPr>
          <w:color w:val="000000"/>
          <w:sz w:val="28"/>
        </w:rPr>
      </w:pPr>
      <w:r w:rsidRPr="00C70934">
        <w:rPr>
          <w:b/>
          <w:bCs/>
          <w:color w:val="000000"/>
          <w:sz w:val="28"/>
        </w:rPr>
        <w:t>Налоговые и неналоговые доходы</w:t>
      </w:r>
      <w:r w:rsidRPr="00C70934">
        <w:rPr>
          <w:color w:val="000000"/>
          <w:sz w:val="28"/>
        </w:rPr>
        <w:t xml:space="preserve">  бюджета округа спрогнозированы в объеме 447 196 424,0 рублей</w:t>
      </w:r>
      <w:r>
        <w:rPr>
          <w:color w:val="000000"/>
          <w:sz w:val="28"/>
        </w:rPr>
        <w:t>.</w:t>
      </w:r>
    </w:p>
    <w:p w:rsidR="00BE4107" w:rsidRPr="00C70934" w:rsidRDefault="00BE4107" w:rsidP="00BE4107">
      <w:pPr>
        <w:jc w:val="both"/>
        <w:rPr>
          <w:color w:val="000000"/>
          <w:sz w:val="28"/>
        </w:rPr>
      </w:pPr>
      <w:r w:rsidRPr="00C70934">
        <w:rPr>
          <w:bCs/>
          <w:color w:val="000000"/>
          <w:sz w:val="28"/>
        </w:rPr>
        <w:t xml:space="preserve">Преобладающую долю в доходах  бюджета на 2023 год  будут составлять налог на доходы физических лиц </w:t>
      </w:r>
      <w:r w:rsidRPr="00C70934">
        <w:rPr>
          <w:color w:val="000000"/>
          <w:sz w:val="28"/>
        </w:rPr>
        <w:t xml:space="preserve"> НДФЛ </w:t>
      </w:r>
      <w:r>
        <w:rPr>
          <w:color w:val="000000"/>
          <w:sz w:val="28"/>
        </w:rPr>
        <w:t xml:space="preserve"> </w:t>
      </w:r>
      <w:r w:rsidRPr="006E4FA6">
        <w:rPr>
          <w:color w:val="000000"/>
          <w:sz w:val="28"/>
        </w:rPr>
        <w:t>318 134 000,0 рублей</w:t>
      </w:r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котрый</w:t>
      </w:r>
      <w:proofErr w:type="spellEnd"/>
      <w:r>
        <w:rPr>
          <w:color w:val="000000"/>
          <w:sz w:val="28"/>
        </w:rPr>
        <w:t xml:space="preserve"> составит и </w:t>
      </w:r>
      <w:r w:rsidRPr="00C70934">
        <w:rPr>
          <w:color w:val="000000"/>
          <w:sz w:val="28"/>
        </w:rPr>
        <w:t xml:space="preserve">–  71,1%; акцизы на нефтепродукты  - 7,8 %; транспортный налог – 4,4 %, земельный налог – 2,9%, </w:t>
      </w:r>
      <w:proofErr w:type="gramStart"/>
      <w:r>
        <w:rPr>
          <w:color w:val="000000"/>
          <w:sz w:val="28"/>
        </w:rPr>
        <w:t>налог</w:t>
      </w:r>
      <w:proofErr w:type="gramEnd"/>
      <w:r>
        <w:rPr>
          <w:color w:val="000000"/>
          <w:sz w:val="28"/>
        </w:rPr>
        <w:t xml:space="preserve"> </w:t>
      </w:r>
      <w:r w:rsidRPr="00C70934">
        <w:rPr>
          <w:color w:val="000000"/>
          <w:sz w:val="28"/>
        </w:rPr>
        <w:t xml:space="preserve">взимаемый в связи с применением упрощенной системы налогообложения 3,7%; </w:t>
      </w:r>
    </w:p>
    <w:p w:rsidR="00BE4107" w:rsidRPr="00C70934" w:rsidRDefault="00BE4107" w:rsidP="00BE4107">
      <w:pPr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>Их совокупная доля составляет 90,0 %  всех н</w:t>
      </w:r>
      <w:r w:rsidRPr="00C70934">
        <w:rPr>
          <w:bCs/>
          <w:color w:val="000000"/>
          <w:sz w:val="28"/>
        </w:rPr>
        <w:t xml:space="preserve">алоговые и неналоговые </w:t>
      </w:r>
      <w:r w:rsidRPr="00C70934">
        <w:rPr>
          <w:color w:val="000000"/>
          <w:sz w:val="28"/>
        </w:rPr>
        <w:t xml:space="preserve"> доходов бюджета.</w:t>
      </w:r>
    </w:p>
    <w:p w:rsidR="00BE4107" w:rsidRPr="00C70934" w:rsidRDefault="00BE4107" w:rsidP="006F1C9F">
      <w:pPr>
        <w:ind w:firstLine="708"/>
        <w:jc w:val="both"/>
        <w:rPr>
          <w:color w:val="000000"/>
          <w:sz w:val="28"/>
        </w:rPr>
      </w:pPr>
      <w:proofErr w:type="gramStart"/>
      <w:r w:rsidRPr="00C70934">
        <w:rPr>
          <w:b/>
          <w:bCs/>
          <w:color w:val="000000"/>
          <w:sz w:val="28"/>
        </w:rPr>
        <w:t xml:space="preserve">Безвозмездные поступления </w:t>
      </w:r>
      <w:r w:rsidRPr="00C70934">
        <w:rPr>
          <w:bCs/>
          <w:color w:val="000000"/>
          <w:sz w:val="28"/>
        </w:rPr>
        <w:t>на 2023 год</w:t>
      </w:r>
      <w:r w:rsidRPr="00C70934">
        <w:rPr>
          <w:b/>
          <w:bCs/>
          <w:color w:val="000000"/>
          <w:sz w:val="28"/>
        </w:rPr>
        <w:t xml:space="preserve"> </w:t>
      </w:r>
      <w:r w:rsidRPr="00C70934">
        <w:rPr>
          <w:color w:val="000000"/>
          <w:sz w:val="28"/>
        </w:rPr>
        <w:t xml:space="preserve">предусмотрены в сумме  1 390 131 652,99 рублей (в том числе из федерального и областного </w:t>
      </w:r>
      <w:r w:rsidRPr="00C70934">
        <w:rPr>
          <w:color w:val="000000"/>
          <w:sz w:val="28"/>
        </w:rPr>
        <w:lastRenderedPageBreak/>
        <w:t>бюджетов 1 381 051 811,38 рублей), на 2024 и 2025 годы – соответственно  1 240 137 787,56 рублей и 1 245 095 207,40 рублей.</w:t>
      </w:r>
      <w:proofErr w:type="gramEnd"/>
    </w:p>
    <w:p w:rsidR="00BE4107" w:rsidRPr="00C70934" w:rsidRDefault="00BE4107" w:rsidP="006F1C9F">
      <w:pPr>
        <w:ind w:firstLine="708"/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>В группу доходов по безвозмездным поступлениям включены  межбюджетные трансферты из других бюджетов бюджетной системы РФ и прочие безвозмездные поступления.</w:t>
      </w:r>
      <w:r w:rsidRPr="00C70934">
        <w:rPr>
          <w:bCs/>
          <w:color w:val="000000"/>
          <w:sz w:val="28"/>
        </w:rPr>
        <w:t xml:space="preserve"> В основу данной группы доходов включены межбюджетные трансферты, распределенные в</w:t>
      </w:r>
      <w:r w:rsidRPr="00C70934">
        <w:rPr>
          <w:color w:val="000000"/>
          <w:sz w:val="28"/>
        </w:rPr>
        <w:t xml:space="preserve"> проекте областного закона «Об областном бюджете на 2023 год и на плановый период 2024 и 2025 годов»</w:t>
      </w:r>
    </w:p>
    <w:p w:rsidR="00BE4107" w:rsidRPr="00C70934" w:rsidRDefault="00BE4107" w:rsidP="006F1C9F">
      <w:pPr>
        <w:ind w:firstLine="708"/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>Структура межбюджетных трансфертов на 2023 год сложилась следующим образом:</w:t>
      </w:r>
    </w:p>
    <w:p w:rsidR="00BE4107" w:rsidRPr="00C70934" w:rsidRDefault="00BE4107" w:rsidP="00BE4107">
      <w:pPr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 xml:space="preserve">Дотации – 3,0% или  41 122 395,40 рублей, дотация предоставляется на выравнивание бюджетной обеспеченности муниципальных округов, городских округов и муниципальных районов на 1 жителя исходя среднедушевых налоговых доходов. </w:t>
      </w:r>
    </w:p>
    <w:p w:rsidR="00BE4107" w:rsidRPr="00C70934" w:rsidRDefault="00BE4107" w:rsidP="00BE4107">
      <w:pPr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>Субвенции –  63,7% или 884 832 046,31 рублей. Запланировано 15 видов субвенций, самые значимые из которых:</w:t>
      </w:r>
    </w:p>
    <w:p w:rsidR="00BE4107" w:rsidRPr="00C70934" w:rsidRDefault="00BE4107" w:rsidP="00BE4107">
      <w:pPr>
        <w:numPr>
          <w:ilvl w:val="0"/>
          <w:numId w:val="1"/>
        </w:numPr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>на реализацию общеобразовательных программ – 690 642 900,00 рублей;</w:t>
      </w:r>
    </w:p>
    <w:p w:rsidR="00BE4107" w:rsidRPr="00C70934" w:rsidRDefault="00BE4107" w:rsidP="00BE4107">
      <w:pPr>
        <w:numPr>
          <w:ilvl w:val="0"/>
          <w:numId w:val="1"/>
        </w:numPr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>на предоставление компенсации расходов  на оплату жилых помещений, отопления и освещения педагогическим работникам образовательных организаций в сельских населенных пунктах – 60 713 050,77 рублей;</w:t>
      </w:r>
    </w:p>
    <w:p w:rsidR="00BE4107" w:rsidRPr="00C70934" w:rsidRDefault="00BE4107" w:rsidP="00BE4107">
      <w:pPr>
        <w:numPr>
          <w:ilvl w:val="0"/>
          <w:numId w:val="1"/>
        </w:numPr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 xml:space="preserve">на выполнение государственных полномочий по предоставлению лицам, жилых помещений в многоквартирных домах, и признанных в установленном порядке аварийными и подлежащими сносу или реконструкции </w:t>
      </w:r>
      <w:r>
        <w:rPr>
          <w:color w:val="000000"/>
          <w:sz w:val="28"/>
        </w:rPr>
        <w:t>66 550 640,0рублей</w:t>
      </w:r>
      <w:r w:rsidRPr="00C70934">
        <w:rPr>
          <w:color w:val="000000"/>
          <w:sz w:val="28"/>
        </w:rPr>
        <w:t xml:space="preserve">. </w:t>
      </w:r>
    </w:p>
    <w:p w:rsidR="00BE4107" w:rsidRPr="00C70934" w:rsidRDefault="00BE4107" w:rsidP="006F1C9F">
      <w:pPr>
        <w:ind w:firstLine="360"/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 xml:space="preserve">Субсидии – 27,4% или 380 400 647,46 рублей. Наибольший объем средств запланирован на предоставление субсидии на </w:t>
      </w:r>
      <w:proofErr w:type="spellStart"/>
      <w:r w:rsidRPr="00C70934">
        <w:rPr>
          <w:color w:val="000000"/>
          <w:sz w:val="28"/>
        </w:rPr>
        <w:t>софинансирование</w:t>
      </w:r>
      <w:proofErr w:type="spellEnd"/>
      <w:r w:rsidRPr="00C70934">
        <w:rPr>
          <w:color w:val="000000"/>
          <w:sz w:val="28"/>
        </w:rPr>
        <w:t xml:space="preserve"> вопросов местного значения 301 839 877,8рублей</w:t>
      </w:r>
    </w:p>
    <w:p w:rsidR="00BE4107" w:rsidRPr="00C70934" w:rsidRDefault="00BE4107" w:rsidP="006F1C9F">
      <w:pPr>
        <w:ind w:firstLine="360"/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 xml:space="preserve">Иные  межбюджетные трансферты 5,3% или 74 696 722,21 рублей, в том числе на реализацию мероприятий по социально-экономическому развитию муниципальных округов на 2023 год 73 120 000 рублей.   </w:t>
      </w:r>
    </w:p>
    <w:p w:rsidR="00BE4107" w:rsidRPr="00C70934" w:rsidRDefault="00BE4107" w:rsidP="006F1C9F">
      <w:pPr>
        <w:ind w:firstLine="360"/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>Прочие межбюджетные трансферты 0,6% или 9 079 841,61рублей на реализацию мероприятий по обеспечению жильем молодых семей</w:t>
      </w:r>
    </w:p>
    <w:p w:rsidR="00BE4107" w:rsidRPr="00C70934" w:rsidRDefault="00BE4107" w:rsidP="006F1C9F">
      <w:pPr>
        <w:ind w:firstLine="360"/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 xml:space="preserve">Общие показатели доходного потенциала на 2023 год в целом, по каждому отдельному источнику проходили процедуру согласования с Министерством финансов Архангельской области. </w:t>
      </w:r>
    </w:p>
    <w:p w:rsidR="00BE4107" w:rsidRPr="00C70934" w:rsidRDefault="00BE4107" w:rsidP="006F1C9F">
      <w:pPr>
        <w:ind w:firstLine="360"/>
        <w:jc w:val="both"/>
        <w:rPr>
          <w:color w:val="000000"/>
          <w:sz w:val="28"/>
        </w:rPr>
      </w:pPr>
      <w:r w:rsidRPr="00C70934">
        <w:rPr>
          <w:b/>
          <w:color w:val="000000"/>
          <w:sz w:val="28"/>
        </w:rPr>
        <w:t>Муниципальный долг</w:t>
      </w:r>
      <w:r w:rsidRPr="00C70934">
        <w:rPr>
          <w:color w:val="000000"/>
          <w:sz w:val="28"/>
        </w:rPr>
        <w:t xml:space="preserve"> </w:t>
      </w:r>
    </w:p>
    <w:p w:rsidR="00BE4107" w:rsidRPr="00C70934" w:rsidRDefault="00BE4107" w:rsidP="00BE4107">
      <w:pPr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 xml:space="preserve">Параметры  муниципального долг  не планируется увеличивать, ожидаемый объем  муниципального долга на 01.01.2024 года составит 60 000 </w:t>
      </w:r>
      <w:proofErr w:type="spellStart"/>
      <w:r w:rsidRPr="00C70934">
        <w:rPr>
          <w:color w:val="000000"/>
          <w:sz w:val="28"/>
        </w:rPr>
        <w:t>000</w:t>
      </w:r>
      <w:proofErr w:type="spellEnd"/>
      <w:r w:rsidRPr="00C70934">
        <w:rPr>
          <w:color w:val="000000"/>
          <w:sz w:val="28"/>
        </w:rPr>
        <w:t xml:space="preserve"> руб., на 01.01.2025 года составит 60 000 </w:t>
      </w:r>
      <w:proofErr w:type="spellStart"/>
      <w:r w:rsidRPr="00C70934">
        <w:rPr>
          <w:color w:val="000000"/>
          <w:sz w:val="28"/>
        </w:rPr>
        <w:t>000</w:t>
      </w:r>
      <w:proofErr w:type="spellEnd"/>
      <w:r w:rsidRPr="00C70934">
        <w:rPr>
          <w:color w:val="000000"/>
          <w:sz w:val="28"/>
        </w:rPr>
        <w:t xml:space="preserve"> руб., на01.01.2026 года составит 40 000 </w:t>
      </w:r>
      <w:proofErr w:type="spellStart"/>
      <w:r w:rsidRPr="00C70934">
        <w:rPr>
          <w:color w:val="000000"/>
          <w:sz w:val="28"/>
        </w:rPr>
        <w:t>000</w:t>
      </w:r>
      <w:proofErr w:type="spellEnd"/>
      <w:r w:rsidRPr="00C70934">
        <w:rPr>
          <w:color w:val="000000"/>
          <w:sz w:val="28"/>
        </w:rPr>
        <w:t xml:space="preserve"> руб.</w:t>
      </w:r>
    </w:p>
    <w:p w:rsidR="00BE4107" w:rsidRPr="00C70934" w:rsidRDefault="00BE4107" w:rsidP="00BE4107">
      <w:pPr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 xml:space="preserve">В 2023 – 2025 годах планируется продолжить практику привлечения краткосрочных бюджетных кредитов на пополнение остатков средств на счете бюджета в пределах финансового года, предоставляемых в </w:t>
      </w:r>
      <w:r w:rsidRPr="00C70934">
        <w:rPr>
          <w:color w:val="000000"/>
          <w:sz w:val="28"/>
        </w:rPr>
        <w:lastRenderedPageBreak/>
        <w:t xml:space="preserve">соответствии со статьей 93.3 БК Российской Федерации. Общий объём привлечения и гашения в 2023 году составит 39 000 000,0 руб. (в 2024 году   39 000 000 руб., в 2025 году 40 000 000руб.) Это позволит </w:t>
      </w:r>
      <w:r>
        <w:rPr>
          <w:color w:val="000000"/>
          <w:sz w:val="28"/>
        </w:rPr>
        <w:t xml:space="preserve">обеспечить финансовую устойчивость </w:t>
      </w:r>
      <w:r w:rsidRPr="00C70934">
        <w:rPr>
          <w:color w:val="000000"/>
          <w:sz w:val="28"/>
        </w:rPr>
        <w:t xml:space="preserve">и минимизировать расходы на обслуживание муниципального долга за счет более низкой процентной ставки. </w:t>
      </w:r>
    </w:p>
    <w:p w:rsidR="00BE4107" w:rsidRPr="00C70934" w:rsidRDefault="00BE4107" w:rsidP="006F1C9F">
      <w:pPr>
        <w:ind w:firstLine="708"/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 xml:space="preserve">Предельный объем долговых обязательств по предоставленным муниципальным гарантиям на 1 января 2024 года отсутствует, так как в 2023 году и в течение 2024 </w:t>
      </w:r>
      <w:r w:rsidRPr="00C70934">
        <w:rPr>
          <w:color w:val="000000"/>
          <w:sz w:val="28"/>
        </w:rPr>
        <w:softHyphen/>
        <w:t>– 2025 годов предоставление муниципальных гарантий не планируется.</w:t>
      </w:r>
    </w:p>
    <w:p w:rsidR="00BE4107" w:rsidRPr="00C70934" w:rsidRDefault="00BE4107" w:rsidP="006F1C9F">
      <w:pPr>
        <w:ind w:firstLine="708"/>
        <w:jc w:val="both"/>
        <w:rPr>
          <w:bCs/>
          <w:color w:val="000000"/>
          <w:sz w:val="28"/>
        </w:rPr>
      </w:pPr>
      <w:r w:rsidRPr="00C70934">
        <w:rPr>
          <w:b/>
          <w:bCs/>
          <w:color w:val="000000"/>
          <w:sz w:val="28"/>
        </w:rPr>
        <w:t>Расходная часть бюджета МО «</w:t>
      </w:r>
      <w:proofErr w:type="spellStart"/>
      <w:r w:rsidRPr="00C70934">
        <w:rPr>
          <w:b/>
          <w:bCs/>
          <w:color w:val="000000"/>
          <w:sz w:val="28"/>
        </w:rPr>
        <w:t>Устьянский</w:t>
      </w:r>
      <w:proofErr w:type="spellEnd"/>
      <w:r w:rsidRPr="00C70934">
        <w:rPr>
          <w:b/>
          <w:bCs/>
          <w:color w:val="000000"/>
          <w:sz w:val="28"/>
        </w:rPr>
        <w:t xml:space="preserve"> район</w:t>
      </w:r>
      <w:r w:rsidRPr="00C70934">
        <w:rPr>
          <w:color w:val="000000"/>
          <w:sz w:val="28"/>
        </w:rPr>
        <w:t xml:space="preserve">» на  2023 год определена в сумме 1 876 394 </w:t>
      </w:r>
      <w:r>
        <w:rPr>
          <w:color w:val="000000"/>
          <w:sz w:val="28"/>
        </w:rPr>
        <w:t>1</w:t>
      </w:r>
      <w:r w:rsidRPr="00C70934">
        <w:rPr>
          <w:color w:val="000000"/>
          <w:sz w:val="28"/>
        </w:rPr>
        <w:t>90,06 руб.,</w:t>
      </w:r>
      <w:r w:rsidRPr="00C70934">
        <w:rPr>
          <w:bCs/>
          <w:color w:val="000000"/>
          <w:sz w:val="28"/>
        </w:rPr>
        <w:t xml:space="preserve"> на 2024 и 2025 годы – соответственно 1 718 366 170,20 рублей и 1 755 982 643,31 рублей. </w:t>
      </w:r>
    </w:p>
    <w:p w:rsidR="00BE4107" w:rsidRPr="00C70934" w:rsidRDefault="00BE4107" w:rsidP="00BE4107">
      <w:pPr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>На отрицательную динамику объемов расходов  по отдельным  разделам в 202</w:t>
      </w:r>
      <w:r>
        <w:rPr>
          <w:bCs/>
          <w:color w:val="000000"/>
          <w:sz w:val="28"/>
        </w:rPr>
        <w:t>4</w:t>
      </w:r>
      <w:r w:rsidRPr="00C70934">
        <w:rPr>
          <w:bCs/>
          <w:color w:val="000000"/>
          <w:sz w:val="28"/>
        </w:rPr>
        <w:t xml:space="preserve"> – 202</w:t>
      </w:r>
      <w:r>
        <w:rPr>
          <w:bCs/>
          <w:color w:val="000000"/>
          <w:sz w:val="28"/>
        </w:rPr>
        <w:t>5</w:t>
      </w:r>
      <w:r w:rsidRPr="00C70934">
        <w:rPr>
          <w:bCs/>
          <w:color w:val="000000"/>
          <w:sz w:val="28"/>
        </w:rPr>
        <w:t xml:space="preserve"> годах по сравнению с 202</w:t>
      </w:r>
      <w:r>
        <w:rPr>
          <w:bCs/>
          <w:color w:val="000000"/>
          <w:sz w:val="28"/>
        </w:rPr>
        <w:t>3</w:t>
      </w:r>
      <w:r w:rsidRPr="00C70934">
        <w:rPr>
          <w:bCs/>
          <w:color w:val="000000"/>
          <w:sz w:val="28"/>
        </w:rPr>
        <w:t xml:space="preserve"> годом повлияло:</w:t>
      </w:r>
    </w:p>
    <w:p w:rsidR="00BE4107" w:rsidRPr="00C70934" w:rsidRDefault="00BE4107" w:rsidP="00BE4107">
      <w:pPr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 xml:space="preserve"> - снижение объемов целевых межбюджетных трансфертов                                из областного бюджета или отсутствие их распределения по муниципальным образованиям Архангельской области в период формирования проекта бюджета </w:t>
      </w:r>
      <w:proofErr w:type="spellStart"/>
      <w:r w:rsidRPr="00C70934">
        <w:rPr>
          <w:bCs/>
          <w:color w:val="000000"/>
          <w:sz w:val="28"/>
        </w:rPr>
        <w:t>Устьянского</w:t>
      </w:r>
      <w:proofErr w:type="spellEnd"/>
      <w:r w:rsidRPr="00C70934">
        <w:rPr>
          <w:bCs/>
          <w:color w:val="000000"/>
          <w:sz w:val="28"/>
        </w:rPr>
        <w:t xml:space="preserve"> муниципального  округа на 2023 – 2025 годы;</w:t>
      </w:r>
    </w:p>
    <w:p w:rsidR="00BE4107" w:rsidRPr="00C70934" w:rsidRDefault="00BE4107" w:rsidP="00BE4107">
      <w:pPr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>- необходимость формирования в плановом периоде условно утверждаемых расходов (не менее 2,5 и 5,0 процентов  от общих расходов за исключением расходов за счет целевых безвозмездных поступлений  в соответствующем финансовому году).</w:t>
      </w:r>
    </w:p>
    <w:p w:rsidR="00BE4107" w:rsidRPr="00C70934" w:rsidRDefault="00BE4107" w:rsidP="006F1C9F">
      <w:pPr>
        <w:ind w:firstLine="708"/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>Расходная часть бюджета на 2023 сформирована с дефицитом 39 066 113,07 руб. (8,7% от общего объёма доходов бюджета без учета безвозмездных поступлений или  0%  от общего объёма доходов бюджета без учета безвозмездных поступлений и снижения остатков средств на счетах по учету средств районного бюджета)</w:t>
      </w:r>
    </w:p>
    <w:p w:rsidR="00BE4107" w:rsidRPr="00C70934" w:rsidRDefault="00BE4107" w:rsidP="006F1C9F">
      <w:pPr>
        <w:ind w:firstLine="708"/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 xml:space="preserve">Проект бюджета  на 2023 год  и плановый период 2024 и 2025 годы  в соответствии с Бюджетным кодексом РФ сформирован по программному принципу. В проекте бюджета </w:t>
      </w:r>
      <w:proofErr w:type="spellStart"/>
      <w:r w:rsidRPr="00C70934">
        <w:rPr>
          <w:color w:val="000000"/>
          <w:sz w:val="28"/>
        </w:rPr>
        <w:t>Устьянского</w:t>
      </w:r>
      <w:proofErr w:type="spellEnd"/>
      <w:r w:rsidRPr="00C70934">
        <w:rPr>
          <w:color w:val="000000"/>
          <w:sz w:val="28"/>
        </w:rPr>
        <w:t xml:space="preserve"> округа на  2023 - 2025 годы запланированы к  реализации 23 муниципальных программ.</w:t>
      </w:r>
    </w:p>
    <w:p w:rsidR="00BE4107" w:rsidRDefault="00BE4107" w:rsidP="006F1C9F">
      <w:pPr>
        <w:ind w:firstLine="708"/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>Объём программных расходов от общих расходов в проекте бюджета составляет на 2023 год  91,8%, прогноз на плановый период 2024 год и 2025 годы соответственно 90,5% и 89,3%.</w:t>
      </w:r>
    </w:p>
    <w:p w:rsidR="00BE4107" w:rsidRDefault="00BE4107" w:rsidP="00BE410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Принято к реализации</w:t>
      </w:r>
    </w:p>
    <w:p w:rsidR="00BE4107" w:rsidRDefault="00BE4107" w:rsidP="00BE410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12 муниципальных программ социальной направленности  на их обеспечение направлено 1 454 473 053,98 руб.</w:t>
      </w:r>
    </w:p>
    <w:p w:rsidR="00BE4107" w:rsidRDefault="00BE4107" w:rsidP="00BE410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7 муниципальных программ поддержки отраслей экономики, расходы  составят 224 551 305,40 руб.</w:t>
      </w:r>
    </w:p>
    <w:p w:rsidR="00BE4107" w:rsidRPr="00C70934" w:rsidRDefault="00BE4107" w:rsidP="00BE410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4 муниципальных программ общего характера на сумму 42 925 354,0руб.</w:t>
      </w:r>
    </w:p>
    <w:p w:rsidR="00BE4107" w:rsidRPr="00C70934" w:rsidRDefault="00BE4107" w:rsidP="006F1C9F">
      <w:pPr>
        <w:ind w:firstLine="708"/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>В рамках муниципальной программы сформирован Дорожный фонд на 2023 год  в объеме 54 617 518 руб. (</w:t>
      </w:r>
      <w:proofErr w:type="spellStart"/>
      <w:r w:rsidRPr="00C70934">
        <w:rPr>
          <w:color w:val="000000"/>
          <w:sz w:val="28"/>
        </w:rPr>
        <w:t>прош</w:t>
      </w:r>
      <w:proofErr w:type="spellEnd"/>
      <w:r w:rsidRPr="00C70934">
        <w:rPr>
          <w:color w:val="000000"/>
          <w:sz w:val="28"/>
        </w:rPr>
        <w:t>. год</w:t>
      </w:r>
      <w:proofErr w:type="gramStart"/>
      <w:r w:rsidRPr="00C70934">
        <w:rPr>
          <w:color w:val="000000"/>
          <w:sz w:val="28"/>
        </w:rPr>
        <w:t>.</w:t>
      </w:r>
      <w:proofErr w:type="gramEnd"/>
      <w:r w:rsidRPr="00C70934">
        <w:rPr>
          <w:color w:val="000000"/>
          <w:sz w:val="28"/>
        </w:rPr>
        <w:t xml:space="preserve"> </w:t>
      </w:r>
      <w:proofErr w:type="gramStart"/>
      <w:r w:rsidRPr="00C70934">
        <w:rPr>
          <w:color w:val="000000"/>
          <w:sz w:val="28"/>
        </w:rPr>
        <w:t>в</w:t>
      </w:r>
      <w:proofErr w:type="gramEnd"/>
      <w:r w:rsidRPr="00C70934">
        <w:rPr>
          <w:color w:val="000000"/>
          <w:sz w:val="28"/>
        </w:rPr>
        <w:t xml:space="preserve">  консолидация 37 618 347 руб.) с ростом к уровню прошлого года на 45,2%, в том числе за счет  транспортного налога с физических лиц зачисляемых на территории </w:t>
      </w:r>
      <w:proofErr w:type="spellStart"/>
      <w:r w:rsidRPr="00C70934">
        <w:rPr>
          <w:color w:val="000000"/>
          <w:sz w:val="28"/>
        </w:rPr>
        <w:t>Устьянского</w:t>
      </w:r>
      <w:proofErr w:type="spellEnd"/>
      <w:r w:rsidRPr="00C70934">
        <w:rPr>
          <w:color w:val="000000"/>
          <w:sz w:val="28"/>
        </w:rPr>
        <w:t xml:space="preserve"> района  19 794 498,0 руб.</w:t>
      </w:r>
    </w:p>
    <w:p w:rsidR="00BE4107" w:rsidRPr="00C70934" w:rsidRDefault="00BE4107" w:rsidP="006F1C9F">
      <w:pPr>
        <w:ind w:firstLine="708"/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lastRenderedPageBreak/>
        <w:t xml:space="preserve">Дорожный  фонд  на 2024 и 2025 года спрогнозирован учетом изменений ставок и нормативов распределения акцизов и определен соответственно  в размере 57 310 873,0,0 руб. и 59 165 340,0руб. </w:t>
      </w:r>
    </w:p>
    <w:p w:rsidR="00BE4107" w:rsidRDefault="00BE4107" w:rsidP="00BE4107">
      <w:pPr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 xml:space="preserve">Более 70,0% расходов бюджета на 2023 год приходится на отрасли социальной сферы: образование,  социальная политика, культура и спорт. </w:t>
      </w:r>
    </w:p>
    <w:p w:rsidR="00BE4107" w:rsidRDefault="00BE4107" w:rsidP="00BE4107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Структура расходов в разрезе отраслей сложилась следующим образом</w:t>
      </w:r>
      <w:r w:rsidR="006F1C9F">
        <w:rPr>
          <w:bCs/>
          <w:color w:val="000000"/>
          <w:sz w:val="28"/>
        </w:rPr>
        <w:t>:</w:t>
      </w:r>
    </w:p>
    <w:p w:rsidR="00BE4107" w:rsidRDefault="00BE4107" w:rsidP="00BE4107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- Образование  1 178 305 464,0 руб. или 62,80% всех расходов бюджета</w:t>
      </w:r>
    </w:p>
    <w:p w:rsidR="00BE4107" w:rsidRPr="00FF1CAC" w:rsidRDefault="00BE4107" w:rsidP="00BE4107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Культура и </w:t>
      </w:r>
      <w:proofErr w:type="spellStart"/>
      <w:r>
        <w:rPr>
          <w:bCs/>
          <w:color w:val="000000"/>
          <w:sz w:val="28"/>
        </w:rPr>
        <w:t>кинемаграфия</w:t>
      </w:r>
      <w:proofErr w:type="spellEnd"/>
      <w:r>
        <w:rPr>
          <w:bCs/>
          <w:color w:val="000000"/>
          <w:sz w:val="28"/>
        </w:rPr>
        <w:t xml:space="preserve">  197 198 695,89руб. или 10,51%</w:t>
      </w:r>
      <w:r w:rsidRPr="00FF1CAC">
        <w:rPr>
          <w:bCs/>
          <w:color w:val="000000"/>
          <w:sz w:val="28"/>
        </w:rPr>
        <w:t xml:space="preserve"> всех расходов бюджета</w:t>
      </w:r>
    </w:p>
    <w:p w:rsidR="00BE4107" w:rsidRPr="00FF1CAC" w:rsidRDefault="00BE4107" w:rsidP="00BE4107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- Социальная политика 114 040 236,93 руб. или 6,08%</w:t>
      </w:r>
      <w:r w:rsidRPr="00FF1CAC">
        <w:rPr>
          <w:bCs/>
          <w:color w:val="000000"/>
          <w:sz w:val="28"/>
        </w:rPr>
        <w:t xml:space="preserve"> всех расходов бюджета</w:t>
      </w:r>
    </w:p>
    <w:p w:rsidR="00BE4107" w:rsidRPr="005364AE" w:rsidRDefault="00BE4107" w:rsidP="00BE4107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- Физическая культура и спорт 550 000,0руб. или 0,02%</w:t>
      </w:r>
      <w:r w:rsidRPr="005364AE">
        <w:rPr>
          <w:bCs/>
          <w:color w:val="000000"/>
          <w:sz w:val="28"/>
        </w:rPr>
        <w:t xml:space="preserve"> всех расходов бюджета</w:t>
      </w:r>
    </w:p>
    <w:p w:rsidR="00BE4107" w:rsidRDefault="00BE4107" w:rsidP="00BE4107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Общегосударственные вопросы 190 132 821,03руб. или 10,13% </w:t>
      </w:r>
      <w:r w:rsidRPr="005364AE">
        <w:rPr>
          <w:bCs/>
          <w:color w:val="000000"/>
          <w:sz w:val="28"/>
        </w:rPr>
        <w:t>всех расходов бюджета</w:t>
      </w:r>
    </w:p>
    <w:p w:rsidR="00BE4107" w:rsidRPr="00CC5EF8" w:rsidRDefault="00BE4107" w:rsidP="00BE4107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- Национальная экономика 79 299 618,0руб</w:t>
      </w:r>
      <w:proofErr w:type="gramStart"/>
      <w:r>
        <w:rPr>
          <w:bCs/>
          <w:color w:val="000000"/>
          <w:sz w:val="28"/>
        </w:rPr>
        <w:t>.и</w:t>
      </w:r>
      <w:proofErr w:type="gramEnd"/>
      <w:r>
        <w:rPr>
          <w:bCs/>
          <w:color w:val="000000"/>
          <w:sz w:val="28"/>
        </w:rPr>
        <w:t xml:space="preserve">ли 4,23% </w:t>
      </w:r>
      <w:r w:rsidRPr="00CC5EF8">
        <w:rPr>
          <w:bCs/>
          <w:color w:val="000000"/>
          <w:sz w:val="28"/>
        </w:rPr>
        <w:t>всех расходов бюджета</w:t>
      </w:r>
    </w:p>
    <w:p w:rsidR="00BE4107" w:rsidRPr="005364AE" w:rsidRDefault="00BE4107" w:rsidP="00BE4107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Национальная оборона  2 485 383,80руб. или 0,13% </w:t>
      </w:r>
      <w:r w:rsidRPr="005364AE">
        <w:rPr>
          <w:bCs/>
          <w:color w:val="000000"/>
          <w:sz w:val="28"/>
        </w:rPr>
        <w:t>всех расходов бюджета</w:t>
      </w:r>
    </w:p>
    <w:p w:rsidR="00BE4107" w:rsidRDefault="00BE4107" w:rsidP="00BE4107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- Национальная безопасность и правоохранительная деятельность 6 330 580,0 руб. или 0,33%  всех расходов бюджета</w:t>
      </w:r>
    </w:p>
    <w:p w:rsidR="00BE4107" w:rsidRDefault="00BE4107" w:rsidP="00BE4107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proofErr w:type="spellStart"/>
      <w:r>
        <w:rPr>
          <w:bCs/>
          <w:color w:val="000000"/>
          <w:sz w:val="28"/>
        </w:rPr>
        <w:t>Жилищно</w:t>
      </w:r>
      <w:proofErr w:type="spellEnd"/>
      <w:r>
        <w:rPr>
          <w:bCs/>
          <w:color w:val="000000"/>
          <w:sz w:val="28"/>
        </w:rPr>
        <w:t xml:space="preserve"> - коммунальное хозяйство 104 230 076,4 руб. или 5,56% всех расходов бюджета</w:t>
      </w:r>
    </w:p>
    <w:p w:rsidR="00BE4107" w:rsidRPr="00834849" w:rsidRDefault="00BE4107" w:rsidP="00BE4107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- Охрана окружающей среды 3 735 314,0 руб. или 0,20%</w:t>
      </w:r>
      <w:r w:rsidRPr="00834849">
        <w:rPr>
          <w:bCs/>
          <w:color w:val="000000"/>
          <w:sz w:val="28"/>
        </w:rPr>
        <w:t xml:space="preserve"> всех расходов бюджета</w:t>
      </w:r>
    </w:p>
    <w:p w:rsidR="00BE4107" w:rsidRDefault="00BE4107" w:rsidP="00BE4107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- Обслуживание государственного  и муниципального долга 86 000,0руб. или</w:t>
      </w:r>
    </w:p>
    <w:p w:rsidR="00BE4107" w:rsidRPr="005364AE" w:rsidRDefault="00BE4107" w:rsidP="00BE4107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0,01%</w:t>
      </w:r>
      <w:r w:rsidRPr="00834849">
        <w:rPr>
          <w:bCs/>
          <w:color w:val="000000"/>
          <w:sz w:val="28"/>
        </w:rPr>
        <w:t xml:space="preserve"> всех расходов бюджета</w:t>
      </w:r>
      <w:r>
        <w:rPr>
          <w:bCs/>
          <w:color w:val="000000"/>
          <w:sz w:val="28"/>
        </w:rPr>
        <w:t>.</w:t>
      </w:r>
    </w:p>
    <w:p w:rsidR="00BE4107" w:rsidRPr="00C70934" w:rsidRDefault="00BE4107" w:rsidP="006F1C9F">
      <w:pPr>
        <w:ind w:firstLine="708"/>
        <w:jc w:val="both"/>
        <w:rPr>
          <w:color w:val="000000"/>
          <w:sz w:val="28"/>
        </w:rPr>
      </w:pPr>
      <w:r w:rsidRPr="005145DB">
        <w:rPr>
          <w:color w:val="000000"/>
          <w:sz w:val="28"/>
        </w:rPr>
        <w:t>Формирование объема и структуры расходов районного бюджета осуществлялось исх</w:t>
      </w:r>
      <w:r w:rsidR="006F1C9F">
        <w:rPr>
          <w:color w:val="000000"/>
          <w:sz w:val="28"/>
        </w:rPr>
        <w:t>одя из следующих общих подходов:</w:t>
      </w:r>
    </w:p>
    <w:p w:rsidR="00BE4107" w:rsidRDefault="00BE4107" w:rsidP="00BE4107">
      <w:pPr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>учтена</w:t>
      </w:r>
      <w:r w:rsidRPr="00C70934">
        <w:rPr>
          <w:color w:val="000000"/>
          <w:sz w:val="28"/>
        </w:rPr>
        <w:t xml:space="preserve"> потребность средств на оплату труда </w:t>
      </w:r>
      <w:r>
        <w:rPr>
          <w:color w:val="000000"/>
          <w:sz w:val="28"/>
        </w:rPr>
        <w:t>с начислениями для  работников бюджетной сферы</w:t>
      </w:r>
      <w:r w:rsidRPr="00C7093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согласно </w:t>
      </w:r>
      <w:r w:rsidRPr="00C70934">
        <w:rPr>
          <w:color w:val="000000"/>
          <w:sz w:val="28"/>
        </w:rPr>
        <w:t xml:space="preserve">указам Президента Российской Федерации, </w:t>
      </w:r>
    </w:p>
    <w:p w:rsidR="00BE4107" w:rsidRPr="00C70934" w:rsidRDefault="00BE4107" w:rsidP="00BE410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C70934">
        <w:rPr>
          <w:color w:val="000000"/>
          <w:sz w:val="28"/>
        </w:rPr>
        <w:t>иных работников муниципальных  учреждений</w:t>
      </w:r>
      <w:r>
        <w:rPr>
          <w:color w:val="000000"/>
          <w:sz w:val="28"/>
        </w:rPr>
        <w:t xml:space="preserve"> </w:t>
      </w:r>
      <w:r w:rsidRPr="00C70934">
        <w:rPr>
          <w:color w:val="000000"/>
          <w:sz w:val="28"/>
        </w:rPr>
        <w:t xml:space="preserve">с учетом индексации на 5,5 процента с 1 октября 2023года, на плановый период 2024 -2025 годов с учетом индексации с 1 октября 2024года на 4 процента и с 1 октября 2025года </w:t>
      </w:r>
      <w:proofErr w:type="gramStart"/>
      <w:r w:rsidRPr="00C70934">
        <w:rPr>
          <w:color w:val="000000"/>
          <w:sz w:val="28"/>
        </w:rPr>
        <w:t>на</w:t>
      </w:r>
      <w:proofErr w:type="gramEnd"/>
      <w:r w:rsidRPr="00C70934">
        <w:rPr>
          <w:color w:val="000000"/>
          <w:sz w:val="28"/>
        </w:rPr>
        <w:t xml:space="preserve"> 4,0процента.</w:t>
      </w:r>
    </w:p>
    <w:p w:rsidR="00BE4107" w:rsidRPr="00C70934" w:rsidRDefault="00BE4107" w:rsidP="00BE4107">
      <w:pPr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>определена</w:t>
      </w:r>
      <w:r w:rsidRPr="00C70934">
        <w:rPr>
          <w:color w:val="000000"/>
          <w:sz w:val="28"/>
        </w:rPr>
        <w:t xml:space="preserve">  потребность средств на оплату труда с учетом повышения минимального </w:t>
      </w:r>
      <w:proofErr w:type="gramStart"/>
      <w:r w:rsidRPr="00C70934">
        <w:rPr>
          <w:color w:val="000000"/>
          <w:sz w:val="28"/>
        </w:rPr>
        <w:t>размера  оплаты труда</w:t>
      </w:r>
      <w:proofErr w:type="gramEnd"/>
      <w:r w:rsidRPr="00C70934">
        <w:rPr>
          <w:color w:val="000000"/>
          <w:sz w:val="28"/>
        </w:rPr>
        <w:t xml:space="preserve"> с 1 января 2023 года  до 15 279,0руб. в месяц (с ростом на 5,5 процента с 1 октября 2023года)        </w:t>
      </w:r>
    </w:p>
    <w:p w:rsidR="00BE4107" w:rsidRPr="00C70934" w:rsidRDefault="00BE4107" w:rsidP="00BE4107">
      <w:pPr>
        <w:jc w:val="both"/>
        <w:rPr>
          <w:color w:val="000000"/>
          <w:sz w:val="28"/>
        </w:rPr>
      </w:pPr>
      <w:r w:rsidRPr="00C70934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 </w:t>
      </w:r>
      <w:r w:rsidRPr="00C70934">
        <w:rPr>
          <w:color w:val="000000"/>
          <w:sz w:val="28"/>
        </w:rPr>
        <w:t>расходы на оплату коммунальных услуг на 2023 год просчитаны исходя из начисленных расходов за 2021 год с учетом среднегодового роста тарифа на 4,8 процента к 2021 году, 16,1 процента к 2022 году. На плановый период расходы  проиндексированы  на 2024 год  на 4,0 процента и на 2025 год на 4,0 процента;</w:t>
      </w:r>
    </w:p>
    <w:p w:rsidR="00BE4107" w:rsidRPr="00C70934" w:rsidRDefault="00BE4107" w:rsidP="00BE4107">
      <w:pPr>
        <w:jc w:val="both"/>
        <w:rPr>
          <w:color w:val="000000"/>
          <w:sz w:val="28"/>
        </w:rPr>
      </w:pPr>
      <w:r w:rsidRPr="00C70934">
        <w:rPr>
          <w:bCs/>
          <w:color w:val="000000"/>
          <w:sz w:val="28"/>
        </w:rPr>
        <w:t xml:space="preserve">      объем бюджетных ассигнований на уплату налогов (налог на имущество, транспортный налог, земельный налог и налог на экологию) определен  из расчетной потребности предоставленной главными распорядителями средств.</w:t>
      </w:r>
    </w:p>
    <w:p w:rsidR="00BE4107" w:rsidRPr="00C70934" w:rsidRDefault="00BE4107" w:rsidP="00BE4107">
      <w:pPr>
        <w:jc w:val="both"/>
        <w:rPr>
          <w:color w:val="000000"/>
          <w:sz w:val="28"/>
        </w:rPr>
      </w:pPr>
      <w:r w:rsidRPr="00C70934">
        <w:rPr>
          <w:bCs/>
          <w:color w:val="000000"/>
          <w:sz w:val="28"/>
        </w:rPr>
        <w:lastRenderedPageBreak/>
        <w:t xml:space="preserve">     объем бюджетных ассигнований на обеспечение мер социальной поддержки отдельных категорий граждан на 2023 год и на плановый период 2024 и 2025 годов </w:t>
      </w:r>
      <w:r>
        <w:rPr>
          <w:bCs/>
          <w:color w:val="000000"/>
          <w:sz w:val="28"/>
        </w:rPr>
        <w:t xml:space="preserve">определен </w:t>
      </w:r>
      <w:r w:rsidRPr="00C70934">
        <w:rPr>
          <w:bCs/>
          <w:color w:val="000000"/>
          <w:sz w:val="28"/>
        </w:rPr>
        <w:t>исходя из прогнозируемого количества получателей мер социальной поддержки.</w:t>
      </w:r>
    </w:p>
    <w:p w:rsidR="00BE4107" w:rsidRPr="00C70934" w:rsidRDefault="00BE4107" w:rsidP="00BE4107">
      <w:pPr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 xml:space="preserve">      В рамках муниципальных заданий и за счет иных субсидий обеспечена  потребность на содержание и функционирование бюджетных учреждений  на основе аналогичных показателей текущего года с учетом изменений сетевых показателей, штатов и контингентов.</w:t>
      </w:r>
    </w:p>
    <w:p w:rsidR="00BE4107" w:rsidRPr="00C70934" w:rsidRDefault="00BE4107" w:rsidP="006F1C9F">
      <w:pPr>
        <w:ind w:firstLine="708"/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 xml:space="preserve">В рамках, запланированных в проекте бюджета лимитов, определены приоритеты по обеспечению и участию в </w:t>
      </w:r>
      <w:proofErr w:type="spellStart"/>
      <w:r w:rsidRPr="00C70934">
        <w:rPr>
          <w:bCs/>
          <w:color w:val="000000"/>
          <w:sz w:val="28"/>
        </w:rPr>
        <w:t>софинансировании</w:t>
      </w:r>
      <w:proofErr w:type="spellEnd"/>
      <w:r w:rsidRPr="00C70934">
        <w:rPr>
          <w:bCs/>
          <w:color w:val="000000"/>
          <w:sz w:val="28"/>
        </w:rPr>
        <w:t xml:space="preserve">  национальных проектов, модернизации образовательных учреждений, по ремонту и  укреплению материально – технической базы муниципальных учреждений, а так же на реализацию мер по обсечению безопасности граждан и антитеррористической защищенности  объектов муниципальных  организаций.</w:t>
      </w:r>
    </w:p>
    <w:p w:rsidR="00BE4107" w:rsidRPr="00C70934" w:rsidRDefault="00BE4107" w:rsidP="006F1C9F">
      <w:pPr>
        <w:ind w:firstLine="708"/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>Предусмотрены бюджетные ассигнования на дальнейшее совершенствование и укрепление системы профилактики безнадзорности и правонарушений среди несовершеннолетних</w:t>
      </w:r>
    </w:p>
    <w:p w:rsidR="00BE4107" w:rsidRPr="00C70934" w:rsidRDefault="00BE4107" w:rsidP="006F1C9F">
      <w:pPr>
        <w:ind w:firstLine="708"/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 xml:space="preserve">Определена поддержка на  обеспечение правопорядка и повышения уровня безопасности граждан на территории </w:t>
      </w:r>
      <w:proofErr w:type="spellStart"/>
      <w:r w:rsidRPr="00C70934">
        <w:rPr>
          <w:bCs/>
          <w:color w:val="000000"/>
          <w:sz w:val="28"/>
        </w:rPr>
        <w:t>Устьянского</w:t>
      </w:r>
      <w:proofErr w:type="spellEnd"/>
      <w:r w:rsidRPr="00C70934">
        <w:rPr>
          <w:bCs/>
          <w:color w:val="000000"/>
          <w:sz w:val="28"/>
        </w:rPr>
        <w:t xml:space="preserve"> района.</w:t>
      </w:r>
    </w:p>
    <w:p w:rsidR="00BE4107" w:rsidRPr="00C70934" w:rsidRDefault="00BE4107" w:rsidP="006F1C9F">
      <w:pPr>
        <w:ind w:firstLine="708"/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 xml:space="preserve">Выдержаны условия по </w:t>
      </w:r>
      <w:proofErr w:type="spellStart"/>
      <w:r w:rsidRPr="00C70934">
        <w:rPr>
          <w:bCs/>
          <w:color w:val="000000"/>
          <w:sz w:val="28"/>
        </w:rPr>
        <w:t>софинансированию</w:t>
      </w:r>
      <w:proofErr w:type="spellEnd"/>
      <w:r w:rsidRPr="00C70934">
        <w:rPr>
          <w:bCs/>
          <w:color w:val="000000"/>
          <w:sz w:val="28"/>
        </w:rPr>
        <w:t xml:space="preserve"> мероприятий предусмотренных в рамках государственных программ </w:t>
      </w:r>
    </w:p>
    <w:p w:rsidR="00BE4107" w:rsidRPr="00C70934" w:rsidRDefault="00BE4107" w:rsidP="00BE4107">
      <w:pPr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 xml:space="preserve"> -  на поддержку  социально -  ориентированных некоммерческих организаций и развитие территориального общественного самоуправления</w:t>
      </w:r>
    </w:p>
    <w:p w:rsidR="00BE4107" w:rsidRPr="00C70934" w:rsidRDefault="00BE4107" w:rsidP="00BE4107">
      <w:pPr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 xml:space="preserve">-  на мероприятия по созданию условий для обеспечения поселений и жителей услугами торговли, </w:t>
      </w:r>
    </w:p>
    <w:p w:rsidR="00BE4107" w:rsidRPr="00C70934" w:rsidRDefault="00BE4107" w:rsidP="00BE4107">
      <w:pPr>
        <w:jc w:val="both"/>
        <w:rPr>
          <w:bCs/>
          <w:iCs/>
          <w:color w:val="000000"/>
          <w:sz w:val="28"/>
        </w:rPr>
      </w:pPr>
      <w:r w:rsidRPr="00C70934">
        <w:rPr>
          <w:bCs/>
          <w:color w:val="000000"/>
          <w:sz w:val="28"/>
        </w:rPr>
        <w:t>-   на мероприятия по улучшению жилищных условий граждан, проживающих в сельской местности и обеспечение жильем молодых специалистов на селе</w:t>
      </w:r>
      <w:r w:rsidRPr="00C70934">
        <w:rPr>
          <w:bCs/>
          <w:iCs/>
          <w:color w:val="000000"/>
          <w:sz w:val="28"/>
        </w:rPr>
        <w:t xml:space="preserve">, а так же на предоставление социальных выплат молодым семьям за счет прочих безвозмездных поступлений. </w:t>
      </w:r>
    </w:p>
    <w:p w:rsidR="00BE4107" w:rsidRPr="00C70934" w:rsidRDefault="00BE4107" w:rsidP="006F1C9F">
      <w:pPr>
        <w:ind w:firstLine="708"/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>Из расчетной потребности запланированы бюджетные ассигнования на мероприятие по организации регулярных перевозок пассажиров, в целях обеспечения доступности населения.</w:t>
      </w:r>
    </w:p>
    <w:p w:rsidR="00BE4107" w:rsidRPr="00C70934" w:rsidRDefault="00BE4107" w:rsidP="006F1C9F">
      <w:pPr>
        <w:ind w:firstLine="708"/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 xml:space="preserve">Предусмотрены расходы в  области </w:t>
      </w:r>
      <w:proofErr w:type="spellStart"/>
      <w:r w:rsidRPr="00C70934">
        <w:rPr>
          <w:bCs/>
          <w:color w:val="000000"/>
          <w:sz w:val="28"/>
        </w:rPr>
        <w:t>жилищно</w:t>
      </w:r>
      <w:proofErr w:type="spellEnd"/>
      <w:r w:rsidRPr="00C70934">
        <w:rPr>
          <w:bCs/>
          <w:color w:val="000000"/>
          <w:sz w:val="28"/>
        </w:rPr>
        <w:t xml:space="preserve"> – коммунального хозяйства, связанных с ремонтом жилфонда и коммунального хозяйства, по переселению граждан из </w:t>
      </w:r>
      <w:proofErr w:type="spellStart"/>
      <w:r w:rsidRPr="00C70934">
        <w:rPr>
          <w:bCs/>
          <w:color w:val="000000"/>
          <w:sz w:val="28"/>
        </w:rPr>
        <w:t>авариного</w:t>
      </w:r>
      <w:proofErr w:type="spellEnd"/>
      <w:r w:rsidRPr="00C70934">
        <w:rPr>
          <w:bCs/>
          <w:color w:val="000000"/>
          <w:sz w:val="28"/>
        </w:rPr>
        <w:t xml:space="preserve"> жилого фонда, на  уплату взносов в Фонд капитального ремонта, благоустройство</w:t>
      </w:r>
      <w:r>
        <w:rPr>
          <w:bCs/>
          <w:color w:val="000000"/>
          <w:sz w:val="28"/>
        </w:rPr>
        <w:t xml:space="preserve"> территорий городских и сельских населенных пунктов</w:t>
      </w:r>
      <w:r w:rsidRPr="00C70934">
        <w:rPr>
          <w:bCs/>
          <w:color w:val="000000"/>
          <w:sz w:val="28"/>
        </w:rPr>
        <w:t xml:space="preserve">. </w:t>
      </w:r>
    </w:p>
    <w:p w:rsidR="00BE4107" w:rsidRPr="00C70934" w:rsidRDefault="00BE4107" w:rsidP="006F1C9F">
      <w:pPr>
        <w:ind w:firstLine="708"/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>В рамках  мероприятий по охране окружающей среды предусмотрены расходы по установке контейнерных площадок и содержание площадок временного накопления твердых коммунальных отходов</w:t>
      </w:r>
      <w:r>
        <w:rPr>
          <w:bCs/>
          <w:color w:val="000000"/>
          <w:sz w:val="28"/>
        </w:rPr>
        <w:t xml:space="preserve"> на территории округа</w:t>
      </w:r>
      <w:r w:rsidRPr="00C70934">
        <w:rPr>
          <w:bCs/>
          <w:color w:val="000000"/>
          <w:sz w:val="28"/>
        </w:rPr>
        <w:t>.</w:t>
      </w:r>
    </w:p>
    <w:p w:rsidR="00BE4107" w:rsidRPr="00C70934" w:rsidRDefault="00BE4107" w:rsidP="006F1C9F">
      <w:pPr>
        <w:ind w:firstLine="708"/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 xml:space="preserve">Из расчетной потребности  запланированы  бюджетные ассигнования на подготовку землеустроительной документации на земельные участки, </w:t>
      </w:r>
      <w:r w:rsidRPr="00C70934">
        <w:rPr>
          <w:bCs/>
          <w:color w:val="000000"/>
          <w:sz w:val="28"/>
        </w:rPr>
        <w:lastRenderedPageBreak/>
        <w:t>организацию учета муниципального имущества, предусмотрены лимиты на мероприятие по комплексу мер направленных на борьбу борщевиком.</w:t>
      </w:r>
    </w:p>
    <w:p w:rsidR="00BE4107" w:rsidRDefault="00BE4107" w:rsidP="006F1C9F">
      <w:pPr>
        <w:ind w:firstLine="708"/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>Предусмотрены расходы, связанные с предупреждением и ликвидацией последствий чрезвычайных ситуаций и стихийных бедствий</w:t>
      </w:r>
      <w:r>
        <w:rPr>
          <w:bCs/>
          <w:color w:val="000000"/>
          <w:sz w:val="28"/>
        </w:rPr>
        <w:t xml:space="preserve"> и на обеспечение первичных мер безопасности</w:t>
      </w:r>
      <w:r w:rsidRPr="00C70934">
        <w:rPr>
          <w:bCs/>
          <w:color w:val="000000"/>
          <w:sz w:val="28"/>
        </w:rPr>
        <w:t xml:space="preserve">, на стимулирование развития субъектов малого и среднего предпринимательства (в части проведение конференций, семинаров, тренингов, круглых столов, консультирование </w:t>
      </w:r>
      <w:proofErr w:type="spellStart"/>
      <w:r w:rsidRPr="00C70934">
        <w:rPr>
          <w:bCs/>
          <w:color w:val="000000"/>
          <w:sz w:val="28"/>
        </w:rPr>
        <w:t>самозанятых</w:t>
      </w:r>
      <w:proofErr w:type="spellEnd"/>
      <w:r w:rsidRPr="00C70934">
        <w:rPr>
          <w:bCs/>
          <w:color w:val="000000"/>
          <w:sz w:val="28"/>
        </w:rPr>
        <w:t xml:space="preserve"> граждан).</w:t>
      </w:r>
    </w:p>
    <w:p w:rsidR="00BE4107" w:rsidRDefault="00BE4107" w:rsidP="006F1C9F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Расходы на исполнение обязательств по обслуживанию муниципального долга </w:t>
      </w:r>
      <w:proofErr w:type="spellStart"/>
      <w:r>
        <w:rPr>
          <w:bCs/>
          <w:color w:val="000000"/>
          <w:sz w:val="28"/>
        </w:rPr>
        <w:t>Устьянского</w:t>
      </w:r>
      <w:proofErr w:type="spellEnd"/>
      <w:r>
        <w:rPr>
          <w:bCs/>
          <w:color w:val="000000"/>
          <w:sz w:val="28"/>
        </w:rPr>
        <w:t xml:space="preserve"> муниципального  округа составят на 2023 год 86 000,0руб., на 2024 и 2025 годы по 86 000,0руб.  </w:t>
      </w:r>
    </w:p>
    <w:p w:rsidR="00BE4107" w:rsidRDefault="00BE4107" w:rsidP="00BE4107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Замечаний и предложений по проекту решения «О бюджете </w:t>
      </w:r>
      <w:proofErr w:type="spellStart"/>
      <w:r>
        <w:rPr>
          <w:bCs/>
          <w:color w:val="000000"/>
          <w:sz w:val="28"/>
        </w:rPr>
        <w:t>Устьянского</w:t>
      </w:r>
      <w:proofErr w:type="spellEnd"/>
      <w:r>
        <w:rPr>
          <w:bCs/>
          <w:color w:val="000000"/>
          <w:sz w:val="28"/>
        </w:rPr>
        <w:t xml:space="preserve"> муниципального округа на  2023 год и плановый период 2024 и 2025 годов»  не поступало.</w:t>
      </w:r>
    </w:p>
    <w:p w:rsidR="00BE4107" w:rsidRPr="00C70934" w:rsidRDefault="00BE4107" w:rsidP="006F1C9F">
      <w:pPr>
        <w:ind w:firstLine="708"/>
        <w:jc w:val="both"/>
        <w:rPr>
          <w:bCs/>
          <w:color w:val="000000"/>
          <w:sz w:val="28"/>
        </w:rPr>
      </w:pPr>
      <w:r w:rsidRPr="00C70934">
        <w:rPr>
          <w:bCs/>
          <w:color w:val="000000"/>
          <w:sz w:val="28"/>
        </w:rPr>
        <w:t xml:space="preserve">Контрольно </w:t>
      </w:r>
      <w:r>
        <w:rPr>
          <w:bCs/>
          <w:color w:val="000000"/>
          <w:sz w:val="28"/>
        </w:rPr>
        <w:t xml:space="preserve">- </w:t>
      </w:r>
      <w:r w:rsidRPr="00C70934">
        <w:rPr>
          <w:bCs/>
          <w:color w:val="000000"/>
          <w:sz w:val="28"/>
        </w:rPr>
        <w:t xml:space="preserve">счетной  комиссией </w:t>
      </w:r>
      <w:proofErr w:type="spellStart"/>
      <w:r w:rsidRPr="00C70934">
        <w:rPr>
          <w:bCs/>
          <w:color w:val="000000"/>
          <w:sz w:val="28"/>
        </w:rPr>
        <w:t>Устьянского</w:t>
      </w:r>
      <w:proofErr w:type="spellEnd"/>
      <w:r w:rsidRPr="00C70934">
        <w:rPr>
          <w:bCs/>
          <w:color w:val="000000"/>
          <w:sz w:val="28"/>
        </w:rPr>
        <w:t xml:space="preserve"> муниципального района в соответствии с частью 2 статьи 15 Бюджетного кодекса Российской Федерации проведена внешняя проверка достоверности и обоснованности показателей формирования проекта решения о бюджете на очередной финансовый год и плановый период. </w:t>
      </w:r>
    </w:p>
    <w:p w:rsidR="00BE4107" w:rsidRDefault="00BE4107"/>
    <w:p w:rsidR="006F1C9F" w:rsidRDefault="006F1C9F"/>
    <w:p w:rsidR="006F1C9F" w:rsidRPr="006F1C9F" w:rsidRDefault="006F1C9F">
      <w:pPr>
        <w:rPr>
          <w:sz w:val="28"/>
          <w:szCs w:val="28"/>
        </w:rPr>
      </w:pPr>
      <w:r w:rsidRPr="006F1C9F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      </w:t>
      </w:r>
      <w:r w:rsidRPr="006F1C9F">
        <w:rPr>
          <w:sz w:val="28"/>
          <w:szCs w:val="28"/>
        </w:rPr>
        <w:t>С.А.Котлов</w:t>
      </w:r>
    </w:p>
    <w:p w:rsidR="006F1C9F" w:rsidRPr="006F1C9F" w:rsidRDefault="006F1C9F">
      <w:pPr>
        <w:rPr>
          <w:sz w:val="28"/>
          <w:szCs w:val="28"/>
        </w:rPr>
      </w:pPr>
    </w:p>
    <w:p w:rsidR="006F1C9F" w:rsidRPr="006F1C9F" w:rsidRDefault="006F1C9F">
      <w:pPr>
        <w:rPr>
          <w:sz w:val="28"/>
          <w:szCs w:val="28"/>
        </w:rPr>
      </w:pPr>
      <w:r w:rsidRPr="006F1C9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   </w:t>
      </w:r>
      <w:proofErr w:type="spellStart"/>
      <w:r w:rsidRPr="006F1C9F">
        <w:rPr>
          <w:sz w:val="28"/>
          <w:szCs w:val="28"/>
        </w:rPr>
        <w:t>Н.А.Засухина</w:t>
      </w:r>
      <w:proofErr w:type="spellEnd"/>
    </w:p>
    <w:sectPr w:rsidR="006F1C9F" w:rsidRPr="006F1C9F" w:rsidSect="00D7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8B1"/>
    <w:multiLevelType w:val="hybridMultilevel"/>
    <w:tmpl w:val="5A04E150"/>
    <w:lvl w:ilvl="0" w:tplc="7E12F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07"/>
    <w:rsid w:val="001354EA"/>
    <w:rsid w:val="0030658D"/>
    <w:rsid w:val="006F1C9F"/>
    <w:rsid w:val="007474E1"/>
    <w:rsid w:val="00B62834"/>
    <w:rsid w:val="00BE4107"/>
    <w:rsid w:val="00CE300C"/>
    <w:rsid w:val="00D54B81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2023-01-11T07:49:00Z</cp:lastPrinted>
  <dcterms:created xsi:type="dcterms:W3CDTF">2022-12-26T09:12:00Z</dcterms:created>
  <dcterms:modified xsi:type="dcterms:W3CDTF">2023-01-11T07:50:00Z</dcterms:modified>
</cp:coreProperties>
</file>