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F" w:rsidRDefault="00753C9F" w:rsidP="006337B9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B1EE0">
        <w:rPr>
          <w:sz w:val="28"/>
        </w:rPr>
        <w:t xml:space="preserve">10 </w:t>
      </w:r>
      <w:r w:rsidR="00F55552">
        <w:rPr>
          <w:sz w:val="28"/>
        </w:rPr>
        <w:t xml:space="preserve">октября </w:t>
      </w:r>
      <w:r w:rsidR="00641E94">
        <w:rPr>
          <w:sz w:val="28"/>
        </w:rPr>
        <w:t>2023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  <w:r w:rsidR="00AB1EE0">
        <w:rPr>
          <w:sz w:val="28"/>
        </w:rPr>
        <w:t>2380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3934B7">
        <w:rPr>
          <w:rFonts w:ascii="Times New Roman" w:hAnsi="Times New Roman" w:cs="Times New Roman"/>
          <w:sz w:val="28"/>
        </w:rPr>
        <w:t xml:space="preserve">Устьянского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 апреля 2023 года №803 «Об утверждении Порядка разработки, реализации и оценки эффективности муниципальных программ Устьянского муниципального округа»,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A04653" w:rsidRPr="00753C9F" w:rsidRDefault="00A04653" w:rsidP="00A0465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A04653" w:rsidRPr="00511FA6" w:rsidRDefault="00A04653" w:rsidP="00A04653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</w:t>
      </w:r>
      <w:r>
        <w:rPr>
          <w:spacing w:val="0"/>
          <w:sz w:val="28"/>
          <w:szCs w:val="28"/>
        </w:rPr>
        <w:t xml:space="preserve"> на территории Устьянског</w:t>
      </w:r>
      <w:r w:rsidR="007309BB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муниципального округа</w:t>
      </w:r>
      <w:r w:rsidR="007309BB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</w:t>
      </w:r>
      <w:r w:rsidRPr="00657FC1">
        <w:rPr>
          <w:spacing w:val="0"/>
          <w:sz w:val="28"/>
          <w:szCs w:val="28"/>
        </w:rPr>
        <w:t>утвержденную постановлением администрации  Устьянского муниципального района Архангельской области от 14 ноября  2019 года №1456</w:t>
      </w:r>
      <w:r>
        <w:rPr>
          <w:spacing w:val="0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2. Настоящее постановление разместить на официальном сайте Устьянского муниципального</w:t>
      </w:r>
      <w:r w:rsidR="007309BB">
        <w:rPr>
          <w:spacing w:val="0"/>
          <w:sz w:val="28"/>
          <w:szCs w:val="28"/>
        </w:rPr>
        <w:t xml:space="preserve"> округа</w:t>
      </w:r>
      <w:r>
        <w:rPr>
          <w:spacing w:val="0"/>
          <w:sz w:val="28"/>
          <w:szCs w:val="28"/>
        </w:rPr>
        <w:t xml:space="preserve">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A04653" w:rsidRPr="00657FC1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Устьянского муниципального округа по </w:t>
      </w:r>
      <w:r w:rsidR="00D15C43">
        <w:rPr>
          <w:spacing w:val="0"/>
          <w:sz w:val="28"/>
          <w:szCs w:val="28"/>
        </w:rPr>
        <w:t>имуществу</w:t>
      </w:r>
      <w:bookmarkStart w:id="0" w:name="_GoBack"/>
      <w:bookmarkEnd w:id="0"/>
      <w:r>
        <w:rPr>
          <w:spacing w:val="0"/>
          <w:sz w:val="28"/>
          <w:szCs w:val="28"/>
        </w:rPr>
        <w:t xml:space="preserve"> и инфраструктуре.</w:t>
      </w:r>
    </w:p>
    <w:p w:rsidR="00A04653" w:rsidRPr="00285233" w:rsidRDefault="00A04653" w:rsidP="00A0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3</w:t>
      </w:r>
      <w:r w:rsidRPr="00657FC1">
        <w:rPr>
          <w:rStyle w:val="fontstyle01"/>
        </w:rPr>
        <w:t>.</w:t>
      </w:r>
      <w:r w:rsidRPr="00657FC1">
        <w:rPr>
          <w:rStyle w:val="fontstyle01"/>
          <w:b/>
        </w:rPr>
        <w:t xml:space="preserve"> </w:t>
      </w:r>
      <w:r w:rsidRPr="00657FC1">
        <w:rPr>
          <w:sz w:val="28"/>
          <w:szCs w:val="28"/>
        </w:rPr>
        <w:t>Настоящее</w:t>
      </w:r>
      <w:r w:rsidRPr="00B516AD">
        <w:rPr>
          <w:sz w:val="28"/>
          <w:szCs w:val="28"/>
        </w:rPr>
        <w:t xml:space="preserve"> постановление </w:t>
      </w:r>
      <w:r w:rsidR="00B7482D">
        <w:rPr>
          <w:bCs/>
          <w:sz w:val="28"/>
          <w:szCs w:val="28"/>
        </w:rPr>
        <w:t>вступает в силу с даты</w:t>
      </w:r>
      <w:r>
        <w:rPr>
          <w:bCs/>
          <w:sz w:val="28"/>
          <w:szCs w:val="28"/>
        </w:rPr>
        <w:t xml:space="preserve"> его подписания.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Pr="00AB1EE0" w:rsidRDefault="00AB1EE0" w:rsidP="00B516AD">
      <w:pPr>
        <w:pStyle w:val="a3"/>
        <w:tabs>
          <w:tab w:val="left" w:pos="1080"/>
        </w:tabs>
        <w:spacing w:after="0"/>
        <w:rPr>
          <w:szCs w:val="28"/>
        </w:rPr>
      </w:pPr>
      <w:proofErr w:type="gramStart"/>
      <w:r w:rsidRPr="00AB1EE0">
        <w:rPr>
          <w:szCs w:val="28"/>
        </w:rPr>
        <w:t>Исполняющий</w:t>
      </w:r>
      <w:proofErr w:type="gramEnd"/>
      <w:r w:rsidRPr="00AB1EE0">
        <w:rPr>
          <w:szCs w:val="28"/>
        </w:rPr>
        <w:t xml:space="preserve"> обязанности</w:t>
      </w:r>
    </w:p>
    <w:p w:rsidR="006337B9" w:rsidRPr="00B516AD" w:rsidRDefault="00AB1EE0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55552">
        <w:rPr>
          <w:sz w:val="28"/>
          <w:szCs w:val="28"/>
        </w:rPr>
        <w:t xml:space="preserve"> Устьянского муниципально</w:t>
      </w:r>
      <w:r>
        <w:rPr>
          <w:sz w:val="28"/>
          <w:szCs w:val="28"/>
        </w:rPr>
        <w:t xml:space="preserve">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Н.С. Филимонова</w:t>
      </w:r>
      <w:r w:rsidR="00F55552">
        <w:rPr>
          <w:sz w:val="28"/>
          <w:szCs w:val="28"/>
        </w:rPr>
        <w:t xml:space="preserve">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4C451C" w:rsidRDefault="004C451C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F55552" w:rsidRDefault="00F55552" w:rsidP="006337B9">
      <w:pPr>
        <w:rPr>
          <w:szCs w:val="28"/>
        </w:rPr>
      </w:pPr>
    </w:p>
    <w:p w:rsidR="00F55552" w:rsidRDefault="00F55552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Устьянского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D624EA" w:rsidRDefault="00D624EA" w:rsidP="000C32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Устьянского муниципального округа 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AB1EE0">
        <w:rPr>
          <w:rStyle w:val="aa"/>
          <w:b w:val="0"/>
          <w:bCs/>
          <w:sz w:val="24"/>
        </w:rPr>
        <w:t xml:space="preserve">10 </w:t>
      </w:r>
      <w:r w:rsidR="00F55552">
        <w:rPr>
          <w:rStyle w:val="aa"/>
          <w:b w:val="0"/>
          <w:bCs/>
          <w:sz w:val="24"/>
        </w:rPr>
        <w:t>октября</w:t>
      </w:r>
      <w:r w:rsidR="00C758F1">
        <w:rPr>
          <w:rStyle w:val="aa"/>
          <w:b w:val="0"/>
          <w:bCs/>
          <w:sz w:val="24"/>
        </w:rPr>
        <w:t xml:space="preserve"> 2023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AB1EE0">
        <w:rPr>
          <w:rStyle w:val="aa"/>
          <w:b w:val="0"/>
          <w:bCs/>
          <w:sz w:val="24"/>
        </w:rPr>
        <w:t xml:space="preserve"> 2380</w:t>
      </w:r>
      <w:r w:rsidR="00EE380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4B7" w:rsidRPr="003934B7">
        <w:rPr>
          <w:rFonts w:ascii="Times New Roman" w:hAnsi="Times New Roman" w:cs="Times New Roman"/>
          <w:sz w:val="24"/>
          <w:szCs w:val="24"/>
        </w:rPr>
        <w:t>Устьянского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r w:rsidRPr="00FB153F">
              <w:t>Устьянского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Устьянского муниципального </w:t>
            </w:r>
            <w:r w:rsidR="006371CB">
              <w:t>округа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>3.1.Разработка инженерной схемы санитарной очистки территорий и населенных пунктов Устьянского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  <w:p w:rsidR="00CB3BB5" w:rsidRDefault="00CB3BB5" w:rsidP="00C73515">
            <w:pPr>
              <w:jc w:val="both"/>
            </w:pPr>
            <w:r>
              <w:t>5.5.Создание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88538A" w:rsidP="00C73515">
            <w:pPr>
              <w:jc w:val="both"/>
            </w:pPr>
            <w:r>
              <w:t>5.6. Реализация мероприятий в сфере общения с отходами производства и потребления, в том числе с твердыми коммунальными отходами.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756E07" w:rsidRPr="00756E07">
              <w:t>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  <w:r w:rsidR="00F55552">
              <w:t>33 742 909,07</w:t>
            </w:r>
          </w:p>
          <w:p w:rsidR="00B94740" w:rsidRPr="00C05DFD" w:rsidRDefault="00B94740" w:rsidP="00B94740">
            <w:r w:rsidRPr="00756E07">
              <w:t>сред</w:t>
            </w:r>
            <w:r w:rsidR="00031057">
              <w:t>ства федерального бюджета – 0,00 ру</w:t>
            </w:r>
            <w:r w:rsidRPr="00756E07">
              <w:t>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3D6D31">
              <w:t xml:space="preserve"> </w:t>
            </w:r>
            <w:r w:rsidR="00F55552">
              <w:t>18 395 985,15</w:t>
            </w:r>
            <w:r w:rsidR="003D6D31">
              <w:t xml:space="preserve">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</w:t>
            </w:r>
            <w:r w:rsidR="006371CB">
              <w:t xml:space="preserve">местного бюджета </w:t>
            </w:r>
            <w:r w:rsidR="00AF006A">
              <w:t>–</w:t>
            </w:r>
            <w:r w:rsidR="003D6D31">
              <w:t xml:space="preserve"> </w:t>
            </w:r>
            <w:r w:rsidR="00F55552">
              <w:t xml:space="preserve">15 346 923,92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7A039F" w:rsidP="00B772F8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Устьянский</w:t>
      </w:r>
      <w:proofErr w:type="spellEnd"/>
      <w:r>
        <w:t xml:space="preserve"> муниципальный округ</w:t>
      </w:r>
      <w:r w:rsidR="00B94740" w:rsidRPr="009F37ED">
        <w:t xml:space="preserve">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 w:rsidR="00B94740">
        <w:t>6,1</w:t>
      </w:r>
      <w:r w:rsidR="00B94740" w:rsidRPr="009F37ED">
        <w:t xml:space="preserve"> тыс. чел., в том числе в сельских поселениях </w:t>
      </w:r>
      <w:r w:rsidR="00B94740">
        <w:t>15,6</w:t>
      </w:r>
      <w:r w:rsidR="00B94740" w:rsidRPr="009F37ED">
        <w:t xml:space="preserve"> тыс. чел</w:t>
      </w:r>
      <w:r w:rsidR="00B94740" w:rsidRPr="00DC17EF">
        <w:t xml:space="preserve">. В состав муниципального района входит 15 сельских поселений </w:t>
      </w:r>
      <w:r w:rsidR="00B94740"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>На территории этих поселений сконцентрированы основные предприятия, на которых образуется большая часть всех отходов Устьянского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По оценочным данным, на территории Устьянского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До настоящего времени захоронение неотсортированных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недостаточным контролем за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Устьянского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Устьянского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Октябрьский,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Устьянского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Устьянского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</w:t>
      </w:r>
      <w:r w:rsidRPr="009F37ED">
        <w:lastRenderedPageBreak/>
        <w:t xml:space="preserve">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Многие из образующихся на территории Устьянского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системы учета и контроля за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Устьянского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Устьянского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>Выполнение работ по уборке  несанкционированных свалок на территории Устьянского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Приобретение  контейнеров (бункеров) для накопления твердых коммунальных отходов на территории Устьянского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Устьянского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r>
              <w:t xml:space="preserve">Устьянского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Устьянского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 .спецтранспортом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>Содержание мест (площадок) накопления твердых коммунальных отходов на территории Устьянского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r w:rsidR="007A01B3">
              <w:t xml:space="preserve">Устьянского муниципального округа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r w:rsidR="007A01B3">
              <w:t>Устьянского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>Общий объем финансирования программы составляет</w:t>
      </w:r>
      <w:r w:rsidR="003D6D31">
        <w:t xml:space="preserve"> – </w:t>
      </w:r>
      <w:r w:rsidR="007309BB">
        <w:t>33 742 909,07</w:t>
      </w:r>
      <w:r w:rsidR="00B94740" w:rsidRPr="005E2233">
        <w:t xml:space="preserve"> рублей, в том числе за счет средств федерального бюджета – 0 рублей, средств областного бюджета  - </w:t>
      </w:r>
      <w:r w:rsidR="007309BB">
        <w:t xml:space="preserve">18 395 985,15 </w:t>
      </w:r>
      <w:r w:rsidR="00B94740" w:rsidRPr="005E2233">
        <w:t>рублей</w:t>
      </w:r>
      <w:r w:rsidR="00CB3BB5">
        <w:t>, средств районного бюджета –</w:t>
      </w:r>
      <w:r w:rsidR="007309BB">
        <w:t xml:space="preserve"> 15 346 923,92 </w:t>
      </w:r>
      <w:r w:rsidR="00692D24">
        <w:t>рублей</w:t>
      </w:r>
      <w:r w:rsidR="00B94740" w:rsidRPr="005E2233">
        <w:t>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0C3F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5417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6F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09BB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B0022"/>
    <w:rsid w:val="007B1391"/>
    <w:rsid w:val="007B2A51"/>
    <w:rsid w:val="007B3983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1EE0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82D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3BB5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380D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552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2FD9-BF82-4EF8-8CF2-15A4D30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9</cp:revision>
  <cp:lastPrinted>2023-10-11T06:03:00Z</cp:lastPrinted>
  <dcterms:created xsi:type="dcterms:W3CDTF">2023-06-08T08:06:00Z</dcterms:created>
  <dcterms:modified xsi:type="dcterms:W3CDTF">2023-10-11T06:03:00Z</dcterms:modified>
</cp:coreProperties>
</file>